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Charitable Lead Annuity Trust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the rest, residue, and remainder of my property and estate, real and personal, of whatever nature and wherever situated, [alternatively, 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residuary bequest, describe or identify the bequest] I give, devise, and bequeath [property bequeathed] to my Trustee in trust to be administered under this provision. I intend this bequest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 within the meaning of Rev. Proc. 2007-46. This trust shall be known as the [name] Charitable Lead Annuity Trust, and I hereby designate [trustee] as the initial trustee (hereinafter “the Trustee”). All references to “Section” or “§” in this instrument shall refer to the Internal Revenue Code of 1986, 26 USC § 1, et seq.</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Annuity Amount.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each taxable year of the trust during the annuity period, the Trustee shall pay to [designated charitable recipient]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amount equal to [percentage to be paid to the designated charitable recipient] percent of the initial net fair market value of all property passing to this trust, as finally determined for federal estate tax purposes. If [designated charitable recipient]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 170(c) and 2055(</w:t>
      </w:r>
      <w:r>
        <w:rPr>
          <w:rFonts w:ascii="Times New Roman" w:hAnsi="Times New Roman" w:eastAsia="Times New Roman" w:cs="Times New Roman"/>
          <w:b/>
          <w:sz w:val="24"/>
        </w:rPr>
        <w:t>a</w:t>
      </w:r>
      <w:r>
        <w:rPr>
          <w:rFonts w:ascii="Times New Roman" w:hAnsi="Times New Roman" w:eastAsia="Times New Roman" w:cs="Times New Roman"/>
          <w:b w:val="0"/>
          <w:sz w:val="24"/>
        </w:rPr>
        <w:t>) at the time any payment is to be made to it, the Trustee shall instead distribute such payments to one or more organizations described in §§ 170(c) and 2055(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the Trustee shall select, and in such proportions as the Trustee shall decide, from time to time, in the Trustee’s sole discretion. The term “the Charitable Organization” shall be used herein to refer collectively to the organization(s) then constituting the charitable recipient, whether named in this paragraph or subsequently selected as the substitute charitable recipient. During the trust term, no payment shall be made to any person other than the Charitable Organization. The annuity period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[number of years of annuity period] years. The first day of the annuity period shall be the date of my death, and the last day of the annuity period shall be the day preceding the [ordinal number corresponding to the length of the annuity period] anniversary of that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annuity amount shall be paid in equal quarterly installments at the end of each calendar quarter from income and, to the extent income is not sufficient, from principal. Any income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in excess of the annuity amount shall be added to principal. If the initial net fair market value of the trust assets is incorrectly determined, then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the value is finally determined for federal estate tax purposes, the Trustee shall pay to the Charitable Organization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undervaluation) or receive from the Charitable Organization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overvaluation)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difference between the annuity amount(s) properly payable and the annuity amount(s) actually paid.</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Deferral Provision.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obligation to pay the annuity amount shall commence with the date of my death, but payment of the annuity amount may be deferred from this date until the end of the taxable year in which the trust is completely funded.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the end of the taxable year in which the trust is completely funded, the Trustee must pay to the Charitable Organization the difference between any annuity amounts actually paid and the annuity amounts payable, plus interest. The interest for any period shall be computed at the Section 7520 rate of interest in effect for the date of my death. All interest shall be compounded annually.</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 of Annuity Amount.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any short taxable year. In the taxable year in which the annuity period ends, 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the number of days of the annuity period in that taxable year.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Upon Termination of Annuity Period.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 the termination of the annuity period, the Trustee shall distribute all of the then principal and income of the trust (other than any amount due to the Charitable Organization under the provisions above) to [remainder beneficiary].</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 additional contributions shall be made to the trust after the initial contribution. The initial contribution, however, shall be deemed to consist of all property passing to the trust by reason of my death.</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Transactions.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shall not engage in any act of self-dealing within the meaning of Section 4941(d), as modified by Section 4947(</w:t>
      </w:r>
      <w:r>
        <w:rPr>
          <w:rFonts w:ascii="Times New Roman" w:hAnsi="Times New Roman" w:eastAsia="Times New Roman" w:cs="Times New Roman"/>
          <w:b/>
          <w:sz w:val="24"/>
        </w:rPr>
        <w:t>a</w:t>
      </w:r>
      <w:r>
        <w:rPr>
          <w:rFonts w:ascii="Times New Roman" w:hAnsi="Times New Roman" w:eastAsia="Times New Roman" w:cs="Times New Roman"/>
          <w:b w:val="0"/>
          <w:sz w:val="24"/>
        </w:rPr>
        <w:t>)(2), and shall not make any taxable expenditures within the meaning of Section 4945(d), as modified by Section 4947(</w:t>
      </w:r>
      <w:r>
        <w:rPr>
          <w:rFonts w:ascii="Times New Roman" w:hAnsi="Times New Roman" w:eastAsia="Times New Roman" w:cs="Times New Roman"/>
          <w:b/>
          <w:sz w:val="24"/>
        </w:rPr>
        <w:t>a</w:t>
      </w:r>
      <w:r>
        <w:rPr>
          <w:rFonts w:ascii="Times New Roman" w:hAnsi="Times New Roman" w:eastAsia="Times New Roman" w:cs="Times New Roman"/>
          <w:b w:val="0"/>
          <w:sz w:val="24"/>
        </w:rPr>
        <w:t>)(2). The Trustee shall not retain any excess business holdings that would subject the trust to tax under Section 4943, as modified by Sections 4947(</w:t>
      </w:r>
      <w:r>
        <w:rPr>
          <w:rFonts w:ascii="Times New Roman" w:hAnsi="Times New Roman" w:eastAsia="Times New Roman" w:cs="Times New Roman"/>
          <w:b/>
          <w:sz w:val="24"/>
        </w:rPr>
        <w:t>a</w:t>
      </w:r>
      <w:r>
        <w:rPr>
          <w:rFonts w:ascii="Times New Roman" w:hAnsi="Times New Roman" w:eastAsia="Times New Roman" w:cs="Times New Roman"/>
          <w:b w:val="0"/>
          <w:sz w:val="24"/>
        </w:rPr>
        <w:t>)(2) and 4947(b)(3). In addition, the Trustee shall not acquire any assets that would subject the trust to tax under Section 4944, as modified by Sections 4947(</w:t>
      </w:r>
      <w:r>
        <w:rPr>
          <w:rFonts w:ascii="Times New Roman" w:hAnsi="Times New Roman" w:eastAsia="Times New Roman" w:cs="Times New Roman"/>
          <w:b/>
          <w:sz w:val="24"/>
        </w:rPr>
        <w:t>a</w:t>
      </w:r>
      <w:r>
        <w:rPr>
          <w:rFonts w:ascii="Times New Roman" w:hAnsi="Times New Roman" w:eastAsia="Times New Roman" w:cs="Times New Roman"/>
          <w:b w:val="0"/>
          <w:sz w:val="24"/>
        </w:rPr>
        <w:t>)(2) and 4947(b)(3), or retain assets which, if acquired by the Trustee, would subject the Trustee to tax under Section 4944, as modified by Sections 4947(</w:t>
      </w:r>
      <w:r>
        <w:rPr>
          <w:rFonts w:ascii="Times New Roman" w:hAnsi="Times New Roman" w:eastAsia="Times New Roman" w:cs="Times New Roman"/>
          <w:b/>
          <w:sz w:val="24"/>
        </w:rPr>
        <w:t>a</w:t>
      </w:r>
      <w:r>
        <w:rPr>
          <w:rFonts w:ascii="Times New Roman" w:hAnsi="Times New Roman" w:eastAsia="Times New Roman" w:cs="Times New Roman"/>
          <w:b w:val="0"/>
          <w:sz w:val="24"/>
        </w:rPr>
        <w:t>)(2) and 4947(b)(3).</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Year.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taxable year of the trust shall be the calendar year.</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operation of the trust shall be governed by the laws of the State of New York. However, the Trustee is prohibited from exercising any power or discretion granted under said laws that would be inconsistent with the requirements for the charitable deductions available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 or for contributions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Power of Amendment.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trust is irrevocable. However, the Trustee shall have the power, acting alone, to amend the trust from time to time in any manner required for the sole purpose of ensuring that the annuity interest passing to the Charitable Organization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guaranteed annuity interest under Section 2055(e)(2)(B) and the regulations thereunder and that payments of the annuity amount to the Charitable Organization will be deductible from the gross income of the trust to the extent provided by Section 642(c)(1) and the regulations thereunder.</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of Trust Assets.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Except as provided in paragraph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herein, nothing in this trust instrument shall be construed to restrict the Trustee from investing the trust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result in the annual realization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income or gain from the sale or disposition of trust assets.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