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[NAME OF THE TRUST, IF DESIRED; E.G., WILLIAM J. HUNT CHARITABLE LEAD ANNUITY]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is made by [identify the settlor, e.g., William T. Hunt of Los Angeles, California] (the "settlor"), as settlor, and [identify the trustee(s), e.g., Daniel W. Green of Los Angeles, California] (the "trustee"), as trustee. The settlor hereby transfers and assigns to the trustee certain property (the "trust estate"), in trust, to be held, administered, and distributed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desires by this instrument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within the meaning of Internal Revenue Code Sections 2055(e)(2)(B) and 2522(c)(2)(b) and the Regulations thereunder, and Internal Revenue Service Revenue Procedure 2007-45.</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trust created by this instrument shall be the [settlor's name followed by the words "Charitable Lead Annuity Trust”, e.g., William T. Hunt Charitable Lead Annuity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is married to [name of spouse, e.g., Betty W. Hunt], and all references in this trust instrument to the settlor's "[husband or wife]"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never had any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[e.g.,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not accept any additions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Limited Power of Amendment by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 is irrevocable. However, the trustee shall have the power, acting alone, to amend the trust in any manner required for the sole purpose of ensuring that the trust qualifies and continues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within the meaning of Internal Revenue Code Sections 2055(e)(2)(B) and 2522(c)(2)(B) and the Regulations thereunder and that payments of the annuity amount to the charitable organization will be deductible from the gross income of the trust to the extent provided by Internal Revenue Code Section 642(c)(1) and the Regulations thereunder. Notwithstanding any other provision of this trust instrument to the contrary, no person shall hold any power or possess any interest that would cause the settlor to be treated as the owner of any portion of the trust under the provisions of subpart E, part I, subchapter J, chapter 1, subtitle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 on Written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reserves the right to remove the trustee and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remove the trustee pursuant to this provision, the settlor shall give the trustee 30 days' written notice.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pursuant to this provision, the settlor shall give the successor trustee written notice of the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each taxable year of the trust during the annuity period, the trustee shall pay to [correct legal name of the charitable organization] (the "charitable organization"),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[specify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 amount: $_______ or percentage (number) percent of the initial net fair market value of all property transferred to the trust, valued as of the date of the transfer]. During the annuity period, no payment shall be made to any person other than the charitable organization. [If the annuity is for the life or lives of one or more measuring lives: The annuity period shall be the lifetime(s) of (name or names of the measuring lives) (add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years is to be added: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The first day of the annuity period shall be the date the property is transferred to the trust and the last day of the annuity period shall be the date of the death of (name or names of the measuring life or lives), (add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years is to be added: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[If the annuity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term add: The annuity period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The first day of the annuity period shall be the date the property is transferred to the trust and the last day of the annuity period shall be the day preceding the (ordinal number corresponding to the length of the annuity period) anniversary of that date.] The annuity amount shall be paid in equal installments [specify the frequency of payment, e.g., at the end of each quarter] from income and, to the extent that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in which the annuity period ends,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the number of days of the annuity period in that taxable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annuity amount shall be used for [describe the general or special purpose, e.g., the general charitable purposes of the charitable organization or medical and scientific research for the purpose of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for cancer]. [Add, if the purpose is restricted: If at any time in the judgment of the trustee it is impossible or impractical to carry out this purpose exactly in the manner specified,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and manner as near as is practicable to the above purpose and manner shall be determined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 of Charitable Organization.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the charitable organization is not, during the term of this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the type described in Internal Revenue Code Sections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amount that would have been paid to the charitable organization had it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that type shall instead be paid to one or more organizations of that type selected by the trustee in the trustee's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computing the net fair market value of the trust assets, all of the trust's assets and liabilities as of the date of the computation shall be taken into account without regard to whether particular items are taken into account in determining the income or the principal of the trust. All determinations of net fair market value shall be made exclusively by the trustee, and the trustee's decision, reached in good faith, shall be final and binding upon all persons interested in the trust. If for any year the net fair market value of the trust assets is incorrectly determined, the trustee shall,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pay to the charitable organization and,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collect from the charitable organization,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amount that the trustee would have paid if the correct value had been used and the amount that the trustee actually paid. Each adjustment is to be made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final determination of the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whenever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must be determined, the trustee shall determine the value of any assets that are not cash, cash equivalents, or other assets that can be readily sold or exchanged for cash or cash equivalents (hereinafter "unmarketable assets"),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"qualified appraisal"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appraiser”, as defined in Treasury Regulation Sections 1.170A-13(c)(3) and 1.170A-13(c)(5), respectively, or (b) ensuring the valuation of these unmarketable assets is performed exclusively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within the meaning of Treasury Regulation Section 1.664-1(</w:t>
      </w:r>
      <w:r>
        <w:rPr>
          <w:rFonts w:ascii="Times New Roman" w:hAnsi="Times New Roman" w:eastAsia="Times New Roman" w:cs="Times New Roman"/>
          <w:b/>
          <w:sz w:val="24"/>
        </w:rPr>
        <w:t>a</w:t>
      </w:r>
      <w:r>
        <w:rPr>
          <w:rFonts w:ascii="Times New Roman" w:hAnsi="Times New Roman" w:eastAsia="Times New Roman" w:cs="Times New Roman"/>
          <w:b w:val="0"/>
          <w:sz w:val="24"/>
        </w:rPr>
        <w:t>)(7)(iii).</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Termination of Charitable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the termination of the annuity period, this trust shall terminate and the trustee shall distribute the remaining trust assets (other than any amount due to the charitable organization) outright to [designate the beneficiary or beneficiaries, all of whom must be living and ascertainable on the date the trust is created, e.g., the settlor or the settlor's issue who are living both on the date that the trust is created and on the date of termination of all charitable interests or Mildred Harper] [if the beneficiaries are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specify the pattern of distribution, e.g., in the manner provided in California Probate Code section (specify either 240, 246, or 247), as defined in Section [specify the paragraph number of this document assigned to the appropriate dispositive scheme among issue, e.g., 6.10], or in equal shares, regardless of whether or not all such issue are members of the same generation or, if the assets are to be poured over to another trust, add: to be held, administered, and distributed in accordance with the terms of that (trust agreement or declaration of trust)]. If, upon termination of all charitable interests, there is no one who is entitled to receive the trust assets under this section, any remaining trust assets shall be distributed outright to [alternate disposition, e.g., the Marin County chapter of The Anonymous Artists of America or the heirs of the settlor (specify manner)].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Prohibition Against Certain Transactions.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not engage in any act of self-dealing within the meaning of Internal Revenue Code Section 4941(d),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shall not make any taxable expenditures within the meaning of Internal Revenue Code Section 4945(d),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 The trustee shall not retain any excess business holdings that would subject the trust to tax under Internal Revenue Code Section 4943, as modified by Internal Revenue Code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In addition, the trustee shall not acquire any assets that would subject the trust to tax under Internal Revenue Code Section 4944, as modified by Internal Revenue Code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or retain assets which, if acquired by the trustee, would subject the trustee to tax under Internal Revenue Code Section 4944, as modified by Internal Revenue Code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and 4947(b)(3). Except for the distribution upon termination of the charitable interest as provided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transferred for full and adequate consideration, no amount may be paid to or for the use of any person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Internal Revenue Code Sections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No gift, legacy, succession, inheritance, estate, or generation-skipping transfer taxes that may be assessed against the trust assets by reason of the settlor's transfer to the trust or the settlor's death shall be paid out of any property held in trust under this instrument. The settlor agrees on behalf of [himself or herself], [his or her] heirs, legal representatives, successors and assigns, to provide for payment of any such taxes from sources other than property held by this trust and to indemnify and hold the trustee harmless from any and all liability for any such taxes.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description, e.g., Marsha G. Cash, who resides at (address) or, for co-trustees, names and descriptions, e.g., Marsha B. Cash, who resides at (address), and Alexander W. Smeed, III, who resides at (address), or any one or more of them,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name and description, e.g., Bank of Berkeley, West Oakland Branch] shall be successor [trustee or 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[or to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successor trustees, in order of priority: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(for co-trustees), Norma S. Jones, who resides at (address); Frank P. Smith, who resides at (address), and Olivia C. Hackman,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Second, [name and description, e.g.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Arthur H. Wilson,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Third, [name and description,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First Fidelity Bank, Main Office, Los Angeles, California].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[Then add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If [name(s) of successor trustee or co-trustees or all those named above] [is or are all or are] unwilling or unable to serve as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trust beneficiaries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w:t>
      </w:r>
      <w:r>
        <w:rPr>
          <w:rFonts w:ascii="Times New Roman" w:hAnsi="Times New Roman" w:eastAsia="Times New Roman" w:cs="Times New Roman"/>
          <w:b/>
          <w:sz w:val="24"/>
        </w:rPr>
        <w:t>OPTIONAL; add if the right to vote is not limited to competent adult beneficiaries:</w:t>
      </w:r>
      <w:r>
        <w:rPr>
          <w:rFonts w:ascii="Times New Roman" w:hAnsi="Times New Roman" w:eastAsia="Times New Roman" w:cs="Times New Roman"/>
          <w:b w:val="0"/>
          <w:sz w:val="24"/>
        </w:rPr>
        <w:t xml:space="preserve">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be entitled to reasonable compensation for services rendered, payable without court order.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settlor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of $ _____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annual amount to compensate the trustee for all of the ordinary services that will be required of the trustee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period. Additional compensation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may be proper to compensate the trustee for any extraordinary services rendered by the trustee, all without court order.]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 during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 Among circumstances that are appropriate to consider in investing and managing trust assets are the following, to the extent relevant to the trust or its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General economic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possible effect of inflation or deflation.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tax consequences of investment decisions or strategies.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role that each investment or course of action plays within the overall trust portfolio.</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total return from income and the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resources of the beneficiaries known to the trustee as determined from information provided by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Needs for liquidity, regularity of income, and preservation or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asset's special relationship or special value, if any, to the purposes of the trust or to one or more of the beneficiaries.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invest in any kind of property or type of investment or engage in any course of action or investment strategy consistent with the standards set forth in the Uniform Prudent Investor Act, as set forth in Probate Code Sections 16045-16054, or any successor sections.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purposes,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including one acting as trustee hereunder,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instrument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Acts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Trustee's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the trustee shall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act of self-dealing as defined in Internal Revenue Code Section 4941(d) or make any taxable expenditure as defined in Internal Revenue Code Section 4945(d), except for the payment of the annuity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investments that jeopardize the charitable purpose of the trust, within the meaning of Internal Revenue Code Section 4944, or retain any excess business holdings, within the meaning of Internal Revenue Code Section 4943;</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or exercise any power or discretion that is in conflict with the provisions of Internal Revenue Code Section 170 or the regulations thereunder, or with any specific provision of this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After the termination of all noncharitable interests, there shall be distributed amounts at least sufficient to avoid liability for the tax imposed by Internal Revenue Code Section 4942(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Realization of Reasonable Income and Gain.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[if the trust nominates co-trustees: the other trustee or trustees or, if the trust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or the settlor's spouse and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the paragraph number of this document assigned to the appropriate dispositive scheme among issue, e.g., 6.10],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taxable year of the trust shall be the calendar year, and the first taxable year of the trust begins on the date settlor signs this Agreement and shall end on December 31 of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is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trust agreement and that it correctly states the terms and conditions under which the trust estate is to be held, administered, and distributed. The settlor approves this trust agreement in all particulars. The trustee[s] approve[s] and accept[s] the trust[s] provided for in this trust agreement.</w:t>
      </w:r>
    </w:p>
    <w:p>
      <w:pPr>
        <w:keepNext w:val="0"/>
        <w:spacing w:before="200" w:after="0" w:line="260" w:lineRule="exact"/>
        <w:ind w:left="1080" w:right="0" w:firstLine="0"/>
        <w:jc w:val="both"/>
      </w:pPr>
      <w:r>
        <w:rPr>
          <w:rFonts w:ascii="Times New Roman" w:hAnsi="Times New Roman" w:eastAsia="Times New Roman" w:cs="Times New Roman"/>
          <w:b w:val="0"/>
          <w:sz w:val="24"/>
        </w:rPr>
        <w:t>Executed on [month, day], [year], at [city or town, and state, in which the trust agreement is signed, e.g., Smalltown,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SETTLOR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[signature of settlor]</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TRUSTEE[S]</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[signature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[typed name of corporate trustee]</w:t>
      </w:r>
    </w:p>
    <w:p>
      <w:pPr>
        <w:keepNext w:val="0"/>
        <w:spacing w:before="120" w:after="0" w:line="260" w:lineRule="exact"/>
        <w:ind w:left="1080" w:right="0" w:firstLine="0"/>
        <w:jc w:val="left"/>
      </w:pPr>
      <w:r>
        <w:rPr>
          <w:rFonts w:ascii="Times New Roman" w:hAnsi="Times New Roman" w:eastAsia="Times New Roman" w:cs="Times New Roman"/>
          <w:b w:val="0"/>
          <w:sz w:val="24"/>
        </w:rPr>
        <w:t>By:</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[signature of the first authorized employee]</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[signature of the second authorized employee]</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