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Lead Annuity or Unitrust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[name] Charitable Lead Trust</w:t>
      </w:r>
    </w:p>
    <w:p>
      <w:pPr>
        <w:keepNext w:val="0"/>
        <w:spacing w:before="200" w:after="0" w:line="260" w:lineRule="exact"/>
        <w:ind w:left="360" w:right="0" w:firstLine="0"/>
        <w:jc w:val="center"/>
      </w:pPr>
      <w:r>
        <w:rPr>
          <w:rFonts w:ascii="Times New Roman" w:hAnsi="Times New Roman" w:eastAsia="Times New Roman" w:cs="Times New Roman"/>
          <w:b/>
          <w:sz w:val="24"/>
        </w:rPr>
        <w:t>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is made by [settlor] of [city], Texas (the Settlor), as Settlor, and [trustee] of [city], Texas (the trustee), as trustee. The Settlor hereby transfers and assigns to the trustee certain property (the trust estate), in trust, to be held, administered, and distributed as provided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desires by this instrument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trust/unitrust] within the meaning of [Rev. Proc. 2007-45 (for annuity trust) or Rev. Proc. 2008-45 (for unitrust)] and Internal Revenue Code Sections 2055(e)(2)(B) and 2522(c)(2)(b).</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trust created by this instrument shall be the [settlor’s name] [Charitable Lead Annuity Trust/Charitable Lead Unitrust].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is married to [name of spouse], and all references in this trust instrument to the Settlor’s spouse are to [him/her].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Living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has no living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 Prohibited.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additional contributions shall be made to the trust after the initial contribution.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 Limited Power of Amendment by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 is irrevocable. However, the trustee shall have the power, acting alone, to amend the trust in any manner required for the sole purpose of ensuring that the annuity interest passing to the charitable organization (as defined in this instrument)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guaranteed annuity interest under I.R.C. § 2055(e)(2)(B); § 2522(c)(2)(B) and the Regulations thereunder and that payments of the annuity amount to the charitable organization will be deductible from the gross income of the trust to the extent provided in I.R.C. § 642(c)(1) and the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reserves the right to dismiss the trustee and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remove the trustee pursuant to this provision, the Settlor shall give the trustee 30 days’ written notice.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pursuant to this provision, the Settlor shall give the successor trustee written notice of the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each taxable year, the trustee shall pay to [charitable organization] (the charitable organization),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[term] years beginning with the first date the trustee accepts property under this instrument as indicated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[numerical percentage] percent of the net fair market value of the trust assets valued as of the date of transfer of those assets to the trustee, as indicated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charitable interest in this trust shall terminate at the end of the trust term provided for in this section. In computing the net fair market value of the trust assets, all of the trust’s assets shall be valued at their values as finally determined for federal tax purposes. If the net fair market value of the trust assets is incorrectly determined, the trustee shall,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pay to the charitable organization and,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collect from the charitable organization,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amount that the trustee would have paid if the correct value had been used and the amount that the trustee actually paid. Each adjustment is to be made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final determination of the value.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annuity amount shall be paid in equal installments at the end of each quarter from income and, to the extent that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determining the amount to be paid under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the trustee shall prorate the same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taxable year and for the taxable year in which the charitable interests terminate.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 of Charitable Organization.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the charitable organization is not, during the term of this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of the type described in I.R.C. §170(b)(1)(</w:t>
      </w:r>
      <w:r>
        <w:rPr>
          <w:rFonts w:ascii="Times New Roman" w:hAnsi="Times New Roman" w:eastAsia="Times New Roman" w:cs="Times New Roman"/>
          <w:b/>
          <w:sz w:val="24"/>
        </w:rPr>
        <w:t>A</w:t>
      </w:r>
      <w:r>
        <w:rPr>
          <w:rFonts w:ascii="Times New Roman" w:hAnsi="Times New Roman" w:eastAsia="Times New Roman" w:cs="Times New Roman"/>
          <w:b w:val="0"/>
          <w:sz w:val="24"/>
        </w:rPr>
        <w:t>), § 170(c), § 2055(</w:t>
      </w:r>
      <w:r>
        <w:rPr>
          <w:rFonts w:ascii="Times New Roman" w:hAnsi="Times New Roman" w:eastAsia="Times New Roman" w:cs="Times New Roman"/>
          <w:b/>
          <w:sz w:val="24"/>
        </w:rPr>
        <w:t>a</w:t>
      </w:r>
      <w:r>
        <w:rPr>
          <w:rFonts w:ascii="Times New Roman" w:hAnsi="Times New Roman" w:eastAsia="Times New Roman" w:cs="Times New Roman"/>
          <w:b w:val="0"/>
          <w:sz w:val="24"/>
        </w:rPr>
        <w:t>), and §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the time any payment is to be made to it, the amount that would have been paid to the charitable organization had it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of that type shall instead be paid to one or more organizations of that type in the sole discretion of the trustee, or any successor trustee then acting.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Termination of Charitable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termination of the annuity period, this trust shall terminate and the trustee shall distribute the then principal and income of the trust (other than any amount due to the charitable organization under the provisions above) to [name of beneficiary]. If, upon termination of all charitable interests, there is no one who is entitled to receive the trust assets under this section, any remaining trust assets shall be distributed outright to [name of contingent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for any reason, the trustee ceases to act as trustee, and no successor trustee is designated by the Settlor, as provided in Section 3.2 of this instrument, within 30 days after the vacancy occurs, [name of successor trustee], who resides at [address of successor trustee] shall be successor trustee. Any successor trustee appointed under this instrument shall have the same powers, rights, and responsibilities as the trustee originally named.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 Co-trustees shall act jointly.</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or other security or undertaking shall be required of any individual who serves as trustee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be entitled to reasonable compensation for services rendered, payable without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for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shall be entitled to reimbursement from the trust estates for all expenses, including, but not limited to, compensation to agents and fees for professional services incurred in the administration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[number of days’ notice] before the time the resignation is to take effect, to the Settlors,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then living beneficiaries known to the trustee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 Notwithstanding the foregoing, any such resignation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effective upon the execution, by each of the persons described above who are entitled to such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waiving such notice and accepting such trustee’s resignation as effective immediately. Further, if any such person is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notice may be given to (and such waiver may be executed by) the guardian of such person’s estate, or if there is no such guardian, to the individual having the care or custody of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[trust/trusts] created under this instrument, and subject to any limitations stated elsewhere in this instrument, the trustee shall have all of the following powers, in addition to all of the powers now or hereafter conferred on trustees by the Texas Trust Code, and may continue to exercise each power after termination of each trust until final distribution of the properties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court, sell (publicly or privately,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pool or unitize any trust property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 of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that are in the best interest of any trusts created in this instrument without responsibility or liability for any loss resulting to the trust from any such transaction.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 in the management of any trusts created under this trust instrument, and to compensate them from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 or without disclosure of the trust, or in unregistered form, so that title may pass by delivery, and without thereby increasing or decreasing such trustee’s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foreclose any security interest or otherwise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bond, mortgage,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 or hold any such obligation past maturity; or consent to alteration of any terms of any such obligation.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settle, or abandon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loans (including loans to the personal representative of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in his or her capacity as personal representative,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guarantee loans (including loans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upon such terms and conditions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deposit trust funds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investment with itself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institution pursuant to Section 113.057 of the Texas Trust Code.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invest in, continue, or participate in the ownership, operation, formation, and reorganization of any business or other investment enterprise in any form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proprietorship, partnership, limited partnership, corporation or association, and the trustee may affect any change in the organization of the business or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Retain Trust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have the power to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set forth in Texas Trust Code Section 117.004.</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Invest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standards set forth in Texas Trust Code Section 117.004, the trustee shall have the power to invest in and acquire every kind of property, real, personal, or mixed, segregated, or undivided, and every kind of investment, including but not limited to obligations of the United States government.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custodian under the Uniform Gifts to Minors Act or Uniform Transfers to Minors Act of any state; to the beneficiary’s attorney in fact who, at the time of the payment in question, is duly appointed and acting for the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to one or more suitable persons as the trustee deems proper,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Any payment so made by the trustee shall be made without the necessity of the appointment of any guardian, and the receipt of payments by any of the foregoing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and complete release and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Trustee’s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the trustee shall not: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act of self-dealing within the meaning of Internal Revenue Code Section 4941(d), as modified by Internal Revenue Code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 or make any taxable expenditures within the meaning of Internal Revenue Code Section 4945(d), as modified by Internal Revenue Code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any excess business holdings that would subject the trust to tax under Internal Revenue Code Section 4943, as modified by Internal Revenue Code Sections 4957(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or retain or acquire any assets that would subject the trust to tax under Internal Revenue Code Section 4944, as modified by Internal Revenue Code Sections 4957(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or exercise any power or discretion which conflicts with the provisions of Internal Revenue Code Section 664 or the regulations thereunder, or with any specific provision of this instrument. The income of the trust for each taxable year shall be distributed at such time and in such manner as not to subject the trust to the tax imposed by Internal Revenue Code Section 4942(</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Realization of Reasonable Income and Gain.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then-living beneficiaries in the manner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Limitation on Trustee’s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provisions in this instrument, the trustee shall not exercise the power to make discretionary distributions of the income or principal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such distribution would discharge any legal obligation of the trustee, in his or her individual capacity, including any legal obligation to support such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Duty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the trustee shall always be bound by those principles of equity which are the foundation of fiduciary capacity and shall not have the power to enlarge or shift any of the beneficial interests herein,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duties.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or by the exercise of any power of appointment created by this instrument, shall terminate no later than 300 years after the effective date of each such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trust’s effective date is the date the trust becomes irrevocable.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outright all of the principal and undistributed income of the trust to the income beneficiaries of the trust in the proportion in which they are entitled to receive income immediately before the termination. If that proportion is not fixed by the terms of the trust, the trustee shall distribute outright all of the trust property to the beneficiaries then entitled or eligible to receive income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Beneficiary.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“beneficiary” shall mean any person who properly receives current payments or distributions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and, as to remaindermen, any living person who would be entitled to property or benefits from the then remaining trust estate, if 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if such person survived the termination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non-binary genders,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full extent permitted by law, 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Texas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Texas, to the extent possible, regardless of the domicile of any trustee or beneficiary. However, the trustee is prohibited from exercising any power or discretion otherwise granted under said laws or this instrument that would be inconsistent with the qualification of the trust under Internal Revenue Code Section [ I.R.C. § 664(d)(1) (for annuity trusts) or § 664(d)(2) (for unitrusts)] and the corresponding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taxable year of the trust shall be the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Statutory Sections.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reference in this instrument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section shall include any successor section or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trust agreement and that it correctly states the terms and conditions under which the trust estate is to be held, administered, and distributed. The Settlor approves this trust agreement in all particulars. The trustee(s) approve(s] and accept(s] the trust provided for in this trust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20__], [city], Texas.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individual trustee],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corporate trustee officer], [title of trustee officer]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corporate trustee], Corporate Trustee </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On this day [Month Day, 20__] this instrument was acknowledged before me by [name], in the capacity herein stated.</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 Notary Public in and for</w:t>
      </w:r>
    </w:p>
    <w:p>
      <w:pPr>
        <w:keepNext w:val="0"/>
        <w:spacing w:before="120" w:after="0" w:line="260" w:lineRule="exact"/>
        <w:ind w:left="720" w:right="0" w:firstLine="0"/>
        <w:jc w:val="left"/>
      </w:pPr>
      <w:r>
        <w:rPr>
          <w:rFonts w:ascii="Times New Roman" w:hAnsi="Times New Roman" w:eastAsia="Times New Roman" w:cs="Times New Roman"/>
          <w:b w:val="0"/>
          <w:sz w:val="24"/>
        </w:rPr>
        <w:t>The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Date my commission expires: _____________</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On this day of [Month Day, 20__], this instrument was acknowledged before me by [name], [title and name of corporation], [address of corporation], on behalf of said corporate fiduciary in its capacity herein stated.</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 Notary Public in and for</w:t>
      </w:r>
    </w:p>
    <w:p>
      <w:pPr>
        <w:keepNext w:val="0"/>
        <w:spacing w:before="120" w:after="0" w:line="260" w:lineRule="exact"/>
        <w:ind w:left="720" w:right="0" w:firstLine="0"/>
        <w:jc w:val="left"/>
      </w:pPr>
      <w:r>
        <w:rPr>
          <w:rFonts w:ascii="Times New Roman" w:hAnsi="Times New Roman" w:eastAsia="Times New Roman" w:cs="Times New Roman"/>
          <w:b w:val="0"/>
          <w:sz w:val="24"/>
        </w:rPr>
        <w:t>The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Date my commission expires: 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