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Charitable Remainder Annuity Trust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All the rest, residue, and remainder of my property and estate, real and personal, of whatever nature and wherever situated, I give, devise, and bequeath to my Trustee in trust to be administered under this provision. I intend this bequest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charitable remainder annuity trust, within the meaning of Revenue Procedure 2003-58 and Section 664 (d)(1) for the Internal Revenue Code (hereinafter “the Code”). The trust shall be known as the [name] Charitable Remainder Annuity Trust and I hereby designate [trustee] as the initial trustee (hereinafter “the Trustee”).</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Annuity Amount.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In each taxable year of the trust during the annuity period, the Trustee shall pay to [person] (hereinafter “the Recipient”)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annuity amount equal to [percentage; AT LEAST 5% AND NO MORE THAN 50%] of the initial net fair market value of all property passing to this trust as finally determined for federal estate tax purposes.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annuity amount shall be paid in equal quarterly installments at the end of each calendar quarter from income, and to the extent income is not sufficient, from principal. Any income of the trust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taxable year in excess of the annuity amount shall be added to principal. If the initial net fair market value of the trust assets is incorrectly determined, then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period after the value is finally determined for federal estate tax purposes, the Trustee shall pay to the Recipient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undervaluation) or receive from the Recipient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overvaluation)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difference between the annuity amount(s) properly payable and the annuity amount(s) actually paid.</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Deferral Provision.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obligation to pay the annuity amount shall commence with the date of my death, but payment of the annuity amount may be deferred from this date until the end of the taxable year in which the trust is completely funded.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the end of the taxable year in which the trust is completely funded, the Trustee must pay to the Recipient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underpayment) or receive from the Recipient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overpayment) the difference between any annuity amounts actually paid, plus interest, and the annuity amounts payable, plus interest. The interest shall be computed for any period at the rate of interest, compounded annually, that the federal income tax regulations under Section 664 of the Code prescribe for this computation.</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Proration of Annuity Amount.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Trustee shall prorate the annuity amount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daily basis for any short taxable year. In the taxable year of the trust during which the annuity period ends, the Trustee shall prorate the annuity amount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daily basis for the number of days of the annuity period in that taxable year.</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to Charity.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At the termination of the annuity period, the Trustee shall distribute all of the then principal and income of the trust (other than any amount due the Recipient under the provisions </w:t>
      </w:r>
      <w:r>
        <w:rPr>
          <w:rFonts w:ascii="Times New Roman" w:hAnsi="Times New Roman" w:eastAsia="Times New Roman" w:cs="Times New Roman"/>
          <w:b w:val="0"/>
          <w:sz w:val="24"/>
        </w:rPr>
        <w:t>above</w:t>
      </w:r>
      <w:r>
        <w:rPr>
          <w:rFonts w:ascii="Times New Roman" w:hAnsi="Times New Roman" w:eastAsia="Times New Roman" w:cs="Times New Roman"/>
          <w:b w:val="0"/>
          <w:sz w:val="24"/>
        </w:rPr>
        <w:t xml:space="preserve">) to [qualifying charitable organization]. If [qualifying charitable organization]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 described in Sections 170(c) and 2055(</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at the time when any principal or income of the trust is to be distributed to it, then the Trustee shall distribute the then principal and income to one or more organizations described in Sections 170(c) and 2055(</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as the Trustee shall select, and in the proportions as the Trustee shall decide, in the Trustee’s sole discretion.</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Contributions.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No additional contributions shall be made to the trust after the initial contribution. The initial contribution, however, shall be deemed to consist of all property passing to the trust by reason of my death.</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Prohibited Transactions.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Trustee shall not engage in any act of self-dealing within the meaning of Section 4941(d) of the Code, as modified by Section 4947(</w:t>
      </w:r>
      <w:r>
        <w:rPr>
          <w:rFonts w:ascii="Times New Roman" w:hAnsi="Times New Roman" w:eastAsia="Times New Roman" w:cs="Times New Roman"/>
          <w:b/>
          <w:sz w:val="24"/>
        </w:rPr>
        <w:t>a</w:t>
      </w:r>
      <w:r>
        <w:rPr>
          <w:rFonts w:ascii="Times New Roman" w:hAnsi="Times New Roman" w:eastAsia="Times New Roman" w:cs="Times New Roman"/>
          <w:b w:val="0"/>
          <w:sz w:val="24"/>
        </w:rPr>
        <w:t>)(2)(</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and shall not make any taxable expenditures within the meaning of Section 4945(d) of the Code, as modified by Section 4947(</w:t>
      </w:r>
      <w:r>
        <w:rPr>
          <w:rFonts w:ascii="Times New Roman" w:hAnsi="Times New Roman" w:eastAsia="Times New Roman" w:cs="Times New Roman"/>
          <w:b/>
          <w:sz w:val="24"/>
        </w:rPr>
        <w:t>a</w:t>
      </w:r>
      <w:r>
        <w:rPr>
          <w:rFonts w:ascii="Times New Roman" w:hAnsi="Times New Roman" w:eastAsia="Times New Roman" w:cs="Times New Roman"/>
          <w:b w:val="0"/>
          <w:sz w:val="24"/>
        </w:rPr>
        <w:t>)(2)(</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Taxable Year.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taxable year of the trust shall be the calendar year.</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operation of the trust shall be governed by the laws of the State of New York. However, the Trustee is prohibited from exercising any power or discretion granted under said laws that would be inconsistent with the qualification of the trust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charitable remainder annuity trust under Section 664(d)(1) of the Code and the corresponding regulations.</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Limited Power of Amendment.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trust is irrevocable. However, the Trustee shall have the power, acting alone, to amend the trust from time to time in any manner required for the sole purpose of ensuring that the trust qualifies and continues to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charitable remainder annuity trust within the meaning of Section 664(d)(1) of the Code.</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of Trust Assets.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Nothing in this trust instrument shall be construed to restrict the Trustee from investing the trust assets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could result in the annual realization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of income or gain from the sale or disposition of trust assets.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