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Remainder Annuity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the trust, if desired; e.g., JOHN T. JAMES CHARITABLE REMAINDER ANNUITY TRUST]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is made by [identify the settlor, e.g., John T. James of Smalltown, California] (the "settlor"), as settlor, and [identify trustee(s), e.g., Robert J. Brown of Smalltown, California] (the "trustee"), as trustee. The settlor hereby transfers and assigns to the trustee certain property (the "trust estate"), in trust, to be held, administered, and distributed as provided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desires by this instrument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Internal Revenue Service Revenue Procedure [if the trust is for the recipient's lifetime, add: 2003-53 or, if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years, add: 2003-54] and Internal Revenue Code Section 664(d)(1) and the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trust created by this instrument shall be the [settlor's name followed by words "Charitable Remainder Annuity Trust”, e.g., John T. James Charitable Remainder Annuity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is married to [name of spouse, e.g., Margaret J. James], and all references in this trust instrument to the settlor's "[husband or wife]"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never had any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[e.g., </w:t>
      </w:r>
      <w:r>
        <w:rPr>
          <w:rFonts w:ascii="Times New Roman" w:hAnsi="Times New Roman" w:eastAsia="Times New Roman" w:cs="Times New Roman"/>
          <w:b/>
          <w:sz w:val="24"/>
        </w:rPr>
        <w:t>A</w:t>
      </w:r>
      <w:r>
        <w:rPr>
          <w:rFonts w:ascii="Times New Roman" w:hAnsi="Times New Roman" w:eastAsia="Times New Roman" w:cs="Times New Roman"/>
          <w:b w:val="0"/>
          <w:sz w:val="24"/>
        </w:rPr>
        <w: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Prohibited.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not accept any additions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Limited Power of Amendment by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 is irrevocable. However, the trustee shall have the power, acting alone, to amend the trust in any manner required for the sole purpose of ensuring that the trust qualifies and continues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Internal Revenue Code Section 664(d)(1).</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 on Written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reserves the right to remove the trustee and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remove the trustee pursuant to this provision, the settlor shall give the trustee 30 days' written notice.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pursuant to this provision, the settlor shall give the successor trustee written notice of the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each taxable year of the trust during the annuity period, the trustee shall pay to [name, e.g., John T. James] ("the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[specify either the dollar amount not less than 5 percent of the initial net fair market value of the trust assets: $ ____________________ or percentage that is not less than 5 nor more than 50 percent of the net fair market value of trust assets: (number) percent of the net fair market value of the assets of the trust as of the date of this instrument (that is, the date of the transfer)]. [If the annuity is for the recipient's lifetime add: The first day of the annuity period shall be the date the property is first transferred to the trust and the last day of the annuity period shall be the date of the recipient's death. or, if the annuity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term add: The annuity period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not more than 20] years. The first day of the annuity period shall be the date the property is first transferred to the trust and the last day of the annuity period shall be the day preceding the [ordinal number corresponding to the length of the annuity period] anniversary of that date.] The annuity amount shall be paid in equal installments [specify the frequency of the payment, not less than annually, e.g., at the end of each quarter] from income and, to the extent that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In determining the annuity amount, the trustee shall prorate the same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taxable year in accordance with Treasury Regulations Section 1.664-2(</w:t>
      </w:r>
      <w:r>
        <w:rPr>
          <w:rFonts w:ascii="Times New Roman" w:hAnsi="Times New Roman" w:eastAsia="Times New Roman" w:cs="Times New Roman"/>
          <w:b/>
          <w:sz w:val="24"/>
        </w:rPr>
        <w:t>a</w:t>
      </w:r>
      <w:r>
        <w:rPr>
          <w:rFonts w:ascii="Times New Roman" w:hAnsi="Times New Roman" w:eastAsia="Times New Roman" w:cs="Times New Roman"/>
          <w:b w:val="0"/>
          <w:sz w:val="24"/>
        </w:rPr>
        <w:t>)(1)(iv)(</w:t>
      </w:r>
      <w:r>
        <w:rPr>
          <w:rFonts w:ascii="Times New Roman" w:hAnsi="Times New Roman" w:eastAsia="Times New Roman" w:cs="Times New Roman"/>
          <w:b/>
          <w:sz w:val="24"/>
        </w:rPr>
        <w:t>a</w:t>
      </w:r>
      <w:r>
        <w:rPr>
          <w:rFonts w:ascii="Times New Roman" w:hAnsi="Times New Roman" w:eastAsia="Times New Roman" w:cs="Times New Roman"/>
          <w:b w:val="0"/>
          <w:sz w:val="24"/>
        </w:rPr>
        <w:t>) and for the taxable year in which the noncharitable interests terminate in accordance with Treasury Regulations Section 1.664-2(</w:t>
      </w:r>
      <w:r>
        <w:rPr>
          <w:rFonts w:ascii="Times New Roman" w:hAnsi="Times New Roman" w:eastAsia="Times New Roman" w:cs="Times New Roman"/>
          <w:b/>
          <w:sz w:val="24"/>
        </w:rPr>
        <w:t>a</w:t>
      </w:r>
      <w:r>
        <w:rPr>
          <w:rFonts w:ascii="Times New Roman" w:hAnsi="Times New Roman" w:eastAsia="Times New Roman" w:cs="Times New Roman"/>
          <w:b w:val="0"/>
          <w:sz w:val="24"/>
        </w:rPr>
        <w:t>)(1)(iv)(b).</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Charity.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the termination of the annuity period, the trustee shall distribute all of the principal and income of the trust, other than any amount due to the recipient, free of trust to the following [if to only one entity: entity (the "charitable organization"): or, if to more than one entity: entities (the "charitable organizations") in the shares indicated:][correct legal name(s) of charitable recipient(s) and, if more than one recipient, designations of shares to be received]. That amount shall be used for [describe the general or special purpose, e.g., the general charitable purposes of the organization or medical and scientific research for the purpose of finding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for cancer]. [Add, if the purpose is restricted: If at any time in the judgment of the trustee it is impossible or impractical to carry out this purpose exactly in the manner specified,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and manner as near as is practicable to the above purpose and manner shall be determined by the trustee.] In the event that [the or any] charitable organization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of the type described in Internal Revenue Code Sections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amount that would have been transferred to the charitable organization had it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of that type shall instead be transferred to one or more organizations of that type selected by the trustee in the trustee's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Prohibition Against Certain Transactions.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not engage in any act of self-dealing within the meaning of Internal Revenue Code Section 4941(d), as modified by Internal Revenue Code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and shall not make any taxable expenditures within the meaning of Internal Revenue Code Section 4945(d), as modified by Internal Revenue Code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Except for the annuity amount,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transferred for full and adequate consideration, no amount may be paid to or for the use of any person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Internal Revenue Code Sections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gift, legacy, succession, inheritance, estate, or generation-skipping transfer taxes that may be assessed against the trust assets by reason of the settlor's transfer to the trust or the settlor's death shall be paid out of any property held in trust under this instrument. The settlor agrees on behalf of [himself or herself], [his or her] heirs, legal representatives, successors and assigns, to provide for payment of any such taxes from sources other than property held by this trust and to indemnify and hold the trustee harmless from any and all liability for any such taxes. If, notwithstanding the provisions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death tax or taxes may for any reason be assessed against the trust assets, or any part of the trust assets, the interest of any surviving income beneficiary under this instrument shall take effect only if he or she furnishes the funds for payment of any such taxes for which the trust may be liable upon the settlor's death. If the surviving income beneficiary fails to furnish those funds for purposes of paying said taxes in connection with the part of this trust attributable to the settlor's contribution which is includable in the settlor's estate and/or has caused the payment of said taxes, the surviving income beneficiary shall be deemed to have predeceased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computing the net fair market value of the trust assets, all of the trust's assets and liabilities as of the date of the computation shall be taken into account without regard to whether particular items are taken into account in determining the income or the principal of the trust. All determinations of net fair market value shall be made exclusively by the trustee, and the trustee's decision, reached in good faith, shall be final and binding upon all persons interested in the trust. If for any year the net fair market value of the trust assets is incorrectly determined, the trustee shall,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pay, or,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collect from, the recipient or the personal representative of the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amount that the trustee would have paid if the correct value had been used and the amount that the trustee actually paid. Each adjustment is to be made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final determination of the value.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the foregoing, whenever the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must be determined, the trustee shall determine the value of any assets that are not cash, cash equivalents, or other assets that can be readily sold or exchanged for cash or cash equivalents (hereinafter "unmarketable assets"),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"qualified appraisal"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appraiser”, as defined in Treasury Regulation Sections 1.170A-13(c)(3) and 1.170A-13(c)(5), respectively, or (b) ensuring the valuation of these unmarketable assets is performed exclusively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within the meaning of Treasury Regulation Section 1.664-1(</w:t>
      </w:r>
      <w:r>
        <w:rPr>
          <w:rFonts w:ascii="Times New Roman" w:hAnsi="Times New Roman" w:eastAsia="Times New Roman" w:cs="Times New Roman"/>
          <w:b/>
          <w:sz w:val="24"/>
        </w:rPr>
        <w:t>a</w:t>
      </w:r>
      <w:r>
        <w:rPr>
          <w:rFonts w:ascii="Times New Roman" w:hAnsi="Times New Roman" w:eastAsia="Times New Roman" w:cs="Times New Roman"/>
          <w:b w:val="0"/>
          <w:sz w:val="24"/>
        </w:rPr>
        <w:t>)(7)(iii).</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interests of the beneficiaries under this instrument are not transferable by voluntary or involuntary assignment or by operation of law, and shall be free from the claims of creditors and from attachment, execution, bankruptcy, and other legal process, to the maximum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individual successor, name and description, e.g., Marsha G. Cash, who resides at (address) or, for co-trustees, names and descriptions, e.g., Marsha B. Cash, who resides at (address), and Alexander W. Smeed, III, who resides at (address), or any one or more of them,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name and description, e.g., Bank of Berkeley, West Oakland Branch] shall be successor [trustee or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[or to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successor trustees, in order of priority: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description, e.g. (for co-trustees): Norma S. Jones, who resides at (address); Frank P. Smith, who resides at (address), and Olivia C. Hackman,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Second, [name and description, e.g.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Douglas R. Young, who resides at (address)]; Third, [name and description,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Double Eagle Bank, Fresno, California].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[Then add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If [name(s) of successor trustee or co-trustees or all those named above] [is or are all or are] unwilling or unable to serve as successor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[optional: if the trust beneficiaries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[Optional; add if the right to vote is not limited to competent adult beneficiaries: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 unless no issue of the settlor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bond or undertaking shall be required of any individual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be entitled to reasonable compensation for services rendered, payable without court order. [Optional: The settlor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of $ _____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annual amount to compensate the trustee for all of the ordinary services that will be required of the trustee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period. Additional compensation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may be proper to compensate the trustee for any extraordinary services rendered by the trustee, all without court order.] [Optional: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 during that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trust instrument, the trustee shall have all of the powers enumerated in this trust instrument and all powers now or hereafter conferred on trustees under California law, subject to any limitations stated elsewhere in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 Among circumstances that are appropriate to consider in investing and managing trust assets are the following, to the extent relevant to the trust or its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General economic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possible effect of inflation or deflation.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tax consequences of investment decisions or strategies.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role that each investment or course of action plays within the overall trust portfolio.</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total return from income and the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resources of the beneficiaries known to the trustee as determined from information provided by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Needs for liquidity, regularity of income, and preservation or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asset's special relationship or special value, if any, to the purposes of the trust or to one or more of the beneficiaries.</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may invest in any kind of property or type of investment or engage in any course of action or investment strategy consistent with the standards set forth in the Uniform Prudent Investor Act, as set forth in Probate Code Sections 16045-16054, or any successor sections.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purposes,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 in the management of any trusts created under this trust instrument, and compensate them from the trust property. [Optional: The agents and employees may be associated or affiliated with the trustee, or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[Optional: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instrument shall be valued at its fair market value at the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beneficiary, may make payments to the beneficiary's conservator or guardian; to the beneficiary's custodian under the Uniform Gifts to Minors Act or Uniform Transfers to Minors Act of any state; [optional: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Distributions Shall Not Discharge Obligations of Support.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no income or principal of the trust shall be used to discharge, in whole or in part, the legal obligation of any person to support or educate any beneficiary of this trust. In determining the legal obligation of any person to support and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the existence of this trust and the funds made available under it shall not be taken into account.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Trustee's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the trustee shall not: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act of self-dealing as defined in Internal Revenue Code Section 4941(d) or make any taxable expenditure as defined in Internal Revenue Code Section 4945(d), except for the payment of the annuity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investments that jeopardize the charitable purpose of the trust, within the meaning of Internal Revenue Code Section 4944, or retain any excess business holdings, within the meaning of Internal Revenue Code Section 4943;</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or exercise any power or discretion which is in conflict with the provisions of Internal Revenue Code Section 664 or the regulations thereunder, or with any specific provision of this instrument.</w:t>
      </w:r>
    </w:p>
    <w:p>
      <w:pPr>
        <w:keepNext w:val="0"/>
        <w:spacing w:before="200" w:after="0" w:line="260" w:lineRule="exact"/>
        <w:ind w:left="1440" w:right="0" w:firstLine="0"/>
        <w:jc w:val="both"/>
      </w:pPr>
      <w:r>
        <w:rPr>
          <w:rFonts w:ascii="Times New Roman" w:hAnsi="Times New Roman" w:eastAsia="Times New Roman" w:cs="Times New Roman"/>
          <w:b w:val="0"/>
          <w:sz w:val="24"/>
        </w:rPr>
        <w:t>After the termination of all noncharitable interests, there shall be distributed amounts at least sufficient to avoid liability for the tax imposed by Internal Revenue Code Section 4942(</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Realization of Reasonable Income and Gain.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[if the trust nominates co-trustees: the other trustee or trustees or, if the trust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SECOND ALTERNATE CLAUSE TO SECTION </w:t>
      </w:r>
      <w:r>
        <w:rPr>
          <w:rFonts w:ascii="Times New Roman" w:hAnsi="Times New Roman" w:eastAsia="Times New Roman" w:cs="Times New Roman"/>
          <w:b/>
          <w:sz w:val="24"/>
        </w:rPr>
        <w:t>5.14.</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not be required to render periodic accounts to any person, but shall render accounts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of this instrument is invalid, that provision shall be disregarded, and the remainder of this instrument shall be construed as if the invalid provision had not been included. </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taxable year of the trust shall be the calendar year, and the first taxable year of the trust begins on the date the settlor signs this instrument and shall end on December 31 of that year.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trust agreement and that it correctly states the terms and conditions under which the trust estate is to be held, administered, and distributed. The settlor approves this trust agreement in all particulars.</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approve[s] and accept[s] the trust[s] provided for in this trust agreement.</w:t>
      </w: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[year], at [city or town, and state, in which the trust agreement is signed, e.g., Smalltown, California].</w:t>
      </w:r>
    </w:p>
    <w:p>
      <w:pPr>
        <w:keepNext w:val="0"/>
        <w:spacing w:before="120" w:after="0" w:line="260" w:lineRule="exact"/>
        <w:ind w:left="1440" w:right="0" w:firstLine="0"/>
        <w:jc w:val="left"/>
      </w:pPr>
      <w:r>
        <w:rPr>
          <w:rFonts w:ascii="Times New Roman" w:hAnsi="Times New Roman" w:eastAsia="Times New Roman" w:cs="Times New Roman"/>
          <w:b w:val="0"/>
          <w:sz w:val="24"/>
        </w:rPr>
        <w:t>SETTLOR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TRUSTEE[S]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[signature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 of corporate trustee]</w:t>
      </w:r>
    </w:p>
    <w:p>
      <w:pPr>
        <w:keepNext w:val="0"/>
        <w:spacing w:before="120" w:after="0" w:line="260" w:lineRule="exact"/>
        <w:ind w:left="1440" w:right="0" w:firstLine="0"/>
        <w:jc w:val="left"/>
      </w:pPr>
      <w:r>
        <w:rPr>
          <w:rFonts w:ascii="Times New Roman" w:hAnsi="Times New Roman" w:eastAsia="Times New Roman" w:cs="Times New Roman"/>
          <w:b w:val="0"/>
          <w:sz w:val="24"/>
        </w:rPr>
        <w:t>By:</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the first authorized employee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the second authorized employee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