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Remainder Unitrust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[Grantor Name] Charitable Remainder Unitrust for [Charitable Organization]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[day] day of [month], [year], [trustee 1 name] and [trustee 2 name], both of [city], Massachusetts, TRUSTEES, acknowledge receipt of the property set forth in the annexed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from the Grantor, [grantor name], of [city], and declare that they will hold the same together with any other property which may be transferred to them either by the Grantor or by any other person, IN TRUST, for the following purposes and in accordance with the provisions hereinafter set forth:</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THE GRANTOR’S GRANDCHILDREN AND [CHARITABLE ORGANIZATION]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hold, manage, invest, and reinvest the property in trust, together with any property to which they may be entitled,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pay to or apply for the benefit of the Grantor’s grandchildren, [grandchildren names], during their respective lives, in each taxable year of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unitrust amount equal to five percent (5%) of the net fair market value of the assets held in trust hereunder, determined annually on the first business day of each taxable year of the trust (which shall be the “valuation date”). The unitrust amount shall be paid to or applied for the benefit of each of the Grantor’s said grandchildren in equal shares while they are both living and, when only one of them is living, the entire amount thereof shall be paid to or applied for the benefit of the survivor. Upon the death of such survivor, the Trustees shall continue to hold the property in this trust as provided in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Payments of the unitrust amount shall be subject to the following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unitrust amount shall be paid quarterly on the last business day of [payout months (e.g., March, June, September, and December] of each taxable year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unitrust amount shall be paid first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unitrust amount shall be added to principal. Any state income tax payable by the Trustees on account of the payment of the unitrust amount shall be allocated to and paid from the share of such unitrust amount to which such tax relates.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determining the amount payable *to the estate of the first such grandchild to die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taxable year, including the year of death of the survivor of the Grantor’s said grandchildren, the Trustees shall prorate the unitrust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in any year during which payments described in this Article are required to be made, the net fair market value of the trust assets is incorrectly determined, the Trustees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after the final determination of the correct value, pay in equal shares to or for the benefit of the Grantor’s said grandchildren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collect from them in equal shares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amount which the Trustees should have paid if such correct value had been used and the amount which the Trustees actually paid.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additional contributions are made to the trust after the initial contribution in trust, the unitrust amount for the taxable year of the trust in which the additional contribution is made shall be five percent (5%) of the sum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net fair market value of the trust assets on the valuation date (excluding the additional assets and any income from, and appreciation on, such assets);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that proportion of the value of the additional assets (which was excluded under subparagraph </w:t>
      </w:r>
      <w:r>
        <w:rPr>
          <w:rFonts w:ascii="Times New Roman" w:hAnsi="Times New Roman" w:eastAsia="Times New Roman" w:cs="Times New Roman"/>
          <w:b w:val="0"/>
          <w:sz w:val="24"/>
        </w:rPr>
        <w:t>(e)</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which the number of days in the period beginning with the date of contribution (including such date) and ending upon the earlier of the last day of such taxable year or the date of death of the survivor of the Grantor’s said grandchildren bears to the number of days in the period beginning with the first day of such taxable year and ending upon the earlier of the last day of such taxable year or the date of death of the survivor of the Grantor’s said grandchildren. If there is no valuation date after the time of contribution, the additional assets shall be valued at the time of contribution.</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valuation date selected does not occur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of the trust, then, except for the year in which the interest of the survivor of the Grantor’s said grandchildren terminates, the trust assets shall be valued as of the last day of such taxable year. In the case of the taxable year in which the interest of the survivor of the Grantor’s said grandchildren terminates, if the selected valuation date does not occur before the day such survivor’s interest terminates, the trust assets shall be valued as of the day such survivor’s interest terminates.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obligation to pay the unitrust amount shall commence with the date on which property is placed in trust hereunder, provided, however, that if any property is added to this trust as the result of the death of any person:</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Such addition shall be deemed to have been made on the date of the death of such person;</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obligation to make the payment required by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with respect to such addition (see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shall begin with the date of death of such person but the Trustees may defer or may estimate the amount of the payment due from such date until the end of the taxable year of the trust in which occurs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complete funding of such trust or (B) the end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administration of the estate of such person; and</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end of the taxable year described in the preceding subsection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Trustees shall pay or apply in equal shares to or for the benefit of the Grantor’s said grandchildren,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underpayment, or shall receive from them in equal shares,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overpayment, the difference between:</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unitrust amount actually paid, plus interest on such amount computed for the period and at the rate of interest required by the Regulations under Section 664 of the Internal Revenue Code for such computation, compounded annually and,</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unitrust amount payable, determined under the method described in Section 1.664-1(</w:t>
      </w:r>
      <w:r>
        <w:rPr>
          <w:rFonts w:ascii="Times New Roman" w:hAnsi="Times New Roman" w:eastAsia="Times New Roman" w:cs="Times New Roman"/>
          <w:b/>
          <w:sz w:val="24"/>
        </w:rPr>
        <w:t>a</w:t>
      </w:r>
      <w:r>
        <w:rPr>
          <w:rFonts w:ascii="Times New Roman" w:hAnsi="Times New Roman" w:eastAsia="Times New Roman" w:cs="Times New Roman"/>
          <w:b w:val="0"/>
          <w:sz w:val="24"/>
        </w:rPr>
        <w:t>)(5)(ii) of the Regulations under Section 664 of the Internal Revenue Code.</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survivor of the Grantor’s said grandchildren, the Trustees shall continue to hold the entire property then remaining in trust hereunder, including any income which has been added to principal pursuant to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after collecting any property then payable to them or to which they may be then entitled and paying any charges, fees, or expenses properly allocable hereto and such amounts, if any, payable on account of the unitrust obligation to the said survivor’s estate, the Trustees shall distribute such property to [charitable organization], of [city], Massachusetts, to be used for the general purposes of such organization, subject, however, to the provisions of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below.</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said [charitable organization] shall not exist or shall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Sections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at the time of the death of the survivor of the Grantor’s said grandchildren, the Trustees shall distribute such property, free of all trusts, to one or more organizations then so described as the Trustees shall select in their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 RELATING TO PAYMENTS OF PRINCIPAL AND INCOME.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payment of principal or income shall be free from the interference and control of creditors and from all marital control and shall not be anticipated by way of assignment, whether voluntary or by process of law, and each such payment shall be so protected until its actual receipt by the appropriate recipient as authorized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any payment of principal or income is due or is to be paid in the discretion of the Trustees to any minor, the Trustees are authorized to make such payment, regardless of the amount, in their sole discretion directly to such minor,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of such minor for the benefit of such minor, or, if not prohibited by law,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minor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to Minors Act or comparable act of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for the payment of the unitrust amount pursuant to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the Trustees are prohibited from engaging in any act of self-dealing as defined in Section 4941(d) of the Internal Revenue Code, from retaining any excess business holdings as defined in Section 4943(c) of the Code which would subject the trust to tax under Section 4943 of the Code (except that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holdings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enterprise by the trust, other than by purchase by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person, as defined in Section 4946 of the Code, any excess business holdings resulting from such change may be retained for the period permitted by Section 4943(c)(6) of the Code), from making any investments which would subject the trust to tax under Section 4944 of the Code, and from making any taxable expenditures as defined in Section 4945(d) of the Code. The Trustees shall make distributions at such times and in such manner as not to subject the trust to tax under Section 4942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in this instrument shall be construed to restrict the Trustees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the powers given to the Trustees by this instrument shall be exercised or exercisable in any way which would result in this trust failing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unitrust under Section 664 of the Code. The Trustees, acting in their sole discretion, may amend this instrument for the sole purpose of complying with the requirements of said Section 664 (and any regulations thereunder, including Regulations Sections 1.664-1 and 1.664-3, or any applicable administrative or court interpretations thereof) at any time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and acknowledged by them and attached to the original of this instrument. In no event shall this trust be amended by such Trustees to revoke or reduce the value of any charitable remainder interest provided herein. Nothing in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shall limit the power of the Trustees to effect such amendment or initiate such proceeding as they may deem desirable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reformation” of this trust, as defined in Section 2055(e)(3)(B) of the Code, in order to secure or increase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under one or more of Sections 170, 2055, and 2522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receive reasonable compensation and, in addition to and not in limitation of their common law and statutory powers, the Trustees shall have and may exercise the following powers, but always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always subject to the provisions contained in Sections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for whatever period they deem advisable any property, including property owned by the Grantor at his death, and to invest and reinvest in any property, both real and personal, including mutual funds of the “load” and “no load” variety, regardless of whether any particular investment would be proper for trustees and regardless of the extent of the diversification of the assets in the trust under which such property is held. The Trustees shall be exempt from any liability by reason of any loss occurring from any investment made or retained by them unless such loss shall be caused by their own willful default or gross negligence.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and to grant options to purchase all or any part of the trust property, both real and personal, at any time at public or private sale, for such consideration, whether or not the highest possible consideration, and upon such terms, including credit, as they deem advisable, and to execute, acknowledge, and deliver deeds or other instruments in connection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lease any real estate for such term or terms, whether or not extending beyond the term of the trust upon which such real estate is held, and upon such provisions and conditions as they deem advisable, including the granting of options to renew, options to extend the term or terms, and options to purchase.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any corporation, association, or other entity the securities of which are held by the Trustees, (i) to participate in person or by proxy (with or without power of substitution)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trust in any meeting of stockholders, directors, or securities holders of any kind; (ii) to execute waivers of notice of the time, place, and purposes of any meeting; (iii) to consent to any action by such entity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to execute formal instruments of consent; (iv) to participate in any type of reorganization, recapitalization, merger, consolidation, liquidation, dissolution, or other action; (v) to exercise subscription or conversion rights; (vi) to serve or to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representative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any such entity and to vote any securities for the election of such person; (vii) to deposit any securities with any protective committee or voting trust and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expenses thereof; and (viii) to take any other action as owners with respect to securities held hereunder.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holding, disposing of, or otherwise dealing in or with any securities held by the Trustees, or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serving or designating another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the Trustees incur any liability or expense under any state or federal law, including without limitation the federal securities acts and the “Blue Sky’ laws of the several states, they shall, to the extent permitted by applicable law, be reimbursed for and indemnified against any such liability or expense from the property held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any securities or other property, both real and personal, in their own names, in the name of such nominee as they shall select, or in the form of “street certificates,” without in any of such cases disclosing the fact that such property is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to indemnify any such nominee against any loss resulting from holding such property as nominee.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keep any trust property at any place within or without the United States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depository or custodian at any such place.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employ others in connection with the administration of the trust including legal counsel, brokers, accountants, and agents, notwithstanding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benefit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employment or may be affiliated with any one or more of them, and to pay them reasonable compensation, without reduction of the Trustees’ compensation.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any part or all of the trust property in any common trust fund maintained by any corporate Trustee hereunder without the necessity of giving notice to any person interested.</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disinterested Trustees shall also have and may exercise the following powers: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compromise, settle, or otherwise adjust any claims, including taxes, asserted in favor of or against either the trust property or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(i) whether any money or property coming into their possession shall be deemed principal or income and whether to apportion the same between principal and income; (ii) the manner in which expenses incidental to the administration of the trust shall be borne or apportioned between principal and income; (iii) whether any discounts shall be accumulated; (iv) what portion, if any, of interest received on bonds purchased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and dividends received on wasting investments shall be added to principal in order to prevent the diminution of principal; and (v) to what extent expenditures, including real estate taxes, insurance, repairs, improvements, and principal payments on mortgages and other loans for the maintenance and protection of real estate and other trust property shall be charged against income or principal, and whether to establish reserves from income or principal for such expenditures and for depreciation, depletion, amortization, and obsolescence in order to prevent the diminution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BY THE TRUSTEES.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Trustees shall from time to time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their trust to each income beneficiary or, if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not then legally competent or is not then living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conservator, executor, or any other fiduciary has been legally appointed for such beneficiary, to such fiduciary. “Income beneficiary” shall mean each person who was eligible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unitrust amount under the terms of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during the period covered by the account. The assent to such account by such income beneficiaries and such fiduciaries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of the Trustees as to all matters included in such account or reflected thereby. The failure of any such income beneficiary or fiduciary to object to any account by written instrument filed with the Trustees within ninety (90) days after the rendering of such account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assent thereto.</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RELATING TO TRUSTEESHIP.</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be required to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performance of his duties or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surety on any bond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Unless due to his own willful default or gross negligence, no Trustee shall be liable for his acts or omissions or those of any co-Trustee or prior Trustee. The Trustees shall be indemnified and held harmless to the extent of the property held hereunder for any liability incurred by them while acting hereunder except liabilities incurred by them through their own willful default or gross negligence in violation of the provisions of this trust and of the rights of the beneficiaries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by notifying the Grantor or, in the event the Grantor is incompetent or after the death of the Grantor, any Trustee, by written instrument signed and acknowledged by the resigning Trustee or, if there is no other Trustee then serving, by notifying those persons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in the manner herein indicated.</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While the Grantor is living and competent, he shall have the right to remove any Trustee by notifying such Trustee by written instrument signed and acknowledged by him.</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While the Grantor is living and competent, he may appoint successor or additional Trustees by written instrument signed by him. In all other events the Trustees may make such appointments, but any such appointment shall be subject to the approval in writing of those persons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in no event shall either of the Grantor’s said grandchildren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 If, despite the foregoing, at any time there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Trustee capable of performing his duties, the Trustee or Trustees then serving or, if none, those persons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shall forthwith appoint one or more disinterested Trustees.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shall be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and acknowledged instrument and shall not take effect until the appointee shall endorse his acceptance thereon. Under no circumstances shall the Grantor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Whoever shall act as Trustee shall have all the rights, powers, duties, discretions, and exemptions given to the named Trustees.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when there is more than one Trustee, any Trustee shall be mentally or physically incapable of performing his duties, it shall not be necessary for such Trustee to resign or to be removed in order that the trust may continue to be administered. The other Trustees may administer the trust during such incapacity without the concurrence of the incapacitated Trustee. If such incapacity results in there being no disinterested Trustee capable of performing his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Trustee shall forthwith be appointed pursuant to the provisions of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of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5.7.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from time to time authorize any one or more of them to execute instruments including, without limitation, checks, notes, and drafts, on behalf of the Trustees hereunder. Any individual Trustee may delegate from time to time all his powers and duties to the other Trustees only if during such delegation there shall continue to be at least one disinterested Trustee capable of performing his duties. Any such delegation shall be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and acknowledged instrument delivered to the other Trustees and shall not exceed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 (6) months.</w:t>
      </w:r>
    </w:p>
    <w:p>
      <w:pPr>
        <w:keepNext w:val="0"/>
        <w:spacing w:before="120" w:after="0" w:line="260" w:lineRule="exact"/>
        <w:ind w:left="1440" w:right="0" w:firstLine="0"/>
        <w:jc w:val="left"/>
      </w:pPr>
      <w:r>
        <w:rPr>
          <w:rFonts w:ascii="Times New Roman" w:hAnsi="Times New Roman" w:eastAsia="Times New Roman" w:cs="Times New Roman"/>
          <w:b w:val="0"/>
          <w:sz w:val="24"/>
        </w:rPr>
        <w:t>5.8.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any Trustee as to the identity of the Trustees or as to any other facts or matters relating to the trust or its management shall be conclusive as to all facts stated in such instrument in favor of any person relying thereon, and no one dealing with any Trustee shall be held to see to the application of any money or property transferred to or upon the order of such Trustee.</w:t>
      </w:r>
    </w:p>
    <w:p>
      <w:pPr>
        <w:keepNext w:val="0"/>
        <w:spacing w:before="120" w:after="0" w:line="260" w:lineRule="exact"/>
        <w:ind w:left="1440" w:right="0" w:firstLine="0"/>
        <w:jc w:val="left"/>
      </w:pPr>
      <w:r>
        <w:rPr>
          <w:rFonts w:ascii="Times New Roman" w:hAnsi="Times New Roman" w:eastAsia="Times New Roman" w:cs="Times New Roman"/>
          <w:b w:val="0"/>
          <w:sz w:val="24"/>
        </w:rPr>
        <w:t>5.9.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decision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power under this trust shall be final and binding on all persons interested.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person shall have any power to revoke, amend, or otherwise modify this instrument in any way, except as specifically provided in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OF CHANGES.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the Trustees shall hold title to real estate or any interest therein, other than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this instrument and any instrument evidencing any resignation, removal, appointment, acceptance, amendment, or modification shall be recorded, if possible, in the registry of deeds for the county or district where such real estate is situated. As long as the Trustees shall hold such title, any such change shall take effect when the instrument evidencing such change is so recorded. If such recording is not possible, the change shall take effect upon compliance with the applicable provisions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shall at all times be governed, construed, and administered in accordance with the laws of the Commonwealth of Massachusetts.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TITLES.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incompetency of the Grantor shall be determined by the Trustees, and the mental or physical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determined by the other Trustee or Trustees. Any such determination when supported by the certificate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physician shall be final and binding on all persons interested or relying thereon.</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“interested Trustee”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then eligible or whose spouse is then eligible to receive income or principal from the trust. All other Trustees shall be “disinterested Trustees.”</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references to Sections of the Internal Revenue Code or to Regulations thereunder shall mean the Internal Revenue Code of 1986 or any successor Code, or the Regulations thereunder, as the same may from time to time be amended, specifically including future amendments to said Sections and corresponding provisions of future Internal Revenue laws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context permits, the term “Trustees” shall include the Trustee or Trustees then serving hereunder, the term “executor” shall include “administrator,”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gender shall include any other gender, and references to the singular or the plural shall be interchangeable.</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titles of all Articles hereunder are inserted for convenient reference and do not affect the interpretation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may be referred to as the “[Grantor Name] Charitable Remainder Unitrust for [Charitable Organization]”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Trustees have hereunto set their hands and seals, the day and year first above written, executing two identical copies of this instrument,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fully and correctly states the trust upon which the trust property is to be held.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p>
    <w:p>
      <w:pPr>
        <w:keepNext w:val="0"/>
        <w:spacing w:before="200" w:after="0" w:line="260" w:lineRule="exact"/>
        <w:ind w:left="360" w:right="0" w:firstLine="0"/>
        <w:jc w:val="center"/>
      </w:pPr>
      <w:r>
        <w:rPr>
          <w:rFonts w:ascii="Times New Roman" w:hAnsi="Times New Roman" w:eastAsia="Times New Roman" w:cs="Times New Roman"/>
          <w:b/>
          <w:sz w:val="24"/>
        </w:rPr>
        <w:t>Commonwealth of Massachusetts</w:t>
      </w:r>
    </w:p>
    <w:p>
      <w:pPr>
        <w:keepNext w:val="0"/>
        <w:spacing w:before="200" w:after="0" w:line="260" w:lineRule="exact"/>
        <w:ind w:left="360" w:right="0" w:firstLine="0"/>
        <w:jc w:val="center"/>
      </w:pPr>
      <w:r>
        <w:rPr>
          <w:rFonts w:ascii="Times New Roman" w:hAnsi="Times New Roman" w:eastAsia="Times New Roman" w:cs="Times New Roman"/>
          <w:b w:val="0"/>
          <w:sz w:val="24"/>
        </w:rPr>
        <w:t>County of [county]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before me, the undersigned notary public, personally appeared [grantor name], as Grantor, proved to me through satisfactory evidence of identification, which was [his/her] [form of identification provided],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p>
    <w:p>
      <w:pPr>
        <w:keepNext w:val="0"/>
        <w:spacing w:before="200" w:after="0" w:line="260" w:lineRule="exact"/>
        <w:ind w:left="360" w:right="0" w:firstLine="0"/>
        <w:jc w:val="center"/>
      </w:pPr>
      <w:r>
        <w:rPr>
          <w:rFonts w:ascii="Times New Roman" w:hAnsi="Times New Roman" w:eastAsia="Times New Roman" w:cs="Times New Roman"/>
          <w:b/>
          <w:sz w:val="24"/>
        </w:rPr>
        <w:t>Commonwealth of Massachusetts</w:t>
      </w:r>
    </w:p>
    <w:p>
      <w:pPr>
        <w:keepNext w:val="0"/>
        <w:spacing w:before="200" w:after="0" w:line="260" w:lineRule="exact"/>
        <w:ind w:left="360" w:right="0" w:firstLine="0"/>
        <w:jc w:val="center"/>
      </w:pPr>
      <w:r>
        <w:rPr>
          <w:rFonts w:ascii="Times New Roman" w:hAnsi="Times New Roman" w:eastAsia="Times New Roman" w:cs="Times New Roman"/>
          <w:b w:val="0"/>
          <w:sz w:val="24"/>
        </w:rPr>
        <w:t>County of [county]</w:t>
        <w:tab/>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before me, the undersigned notary public, personally appeared [trustee 1 name], as Trustee, proved to me through satisfactory evidence of identification, which was [his/her] [form of identification provided]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p>
    <w:p>
      <w:pPr>
        <w:keepNext w:val="0"/>
        <w:spacing w:before="200" w:after="0" w:line="260" w:lineRule="exact"/>
        <w:ind w:left="360" w:right="0" w:firstLine="0"/>
        <w:jc w:val="center"/>
      </w:pPr>
      <w:r>
        <w:rPr>
          <w:rFonts w:ascii="Times New Roman" w:hAnsi="Times New Roman" w:eastAsia="Times New Roman" w:cs="Times New Roman"/>
          <w:b/>
          <w:sz w:val="24"/>
        </w:rPr>
        <w:t>Commonwealth of Massachusetts</w:t>
      </w:r>
    </w:p>
    <w:p>
      <w:pPr>
        <w:keepNext w:val="0"/>
        <w:spacing w:before="200" w:after="0" w:line="260" w:lineRule="exact"/>
        <w:ind w:left="360" w:right="0" w:firstLine="0"/>
        <w:jc w:val="center"/>
      </w:pPr>
      <w:r>
        <w:rPr>
          <w:rFonts w:ascii="Times New Roman" w:hAnsi="Times New Roman" w:eastAsia="Times New Roman" w:cs="Times New Roman"/>
          <w:b w:val="0"/>
          <w:sz w:val="24"/>
        </w:rPr>
        <w:t>County of [county]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before me, the undersigned notary public, personally appeared [trustee 2 name], as Trustee, proved to me through satisfactory evidence of identification, which was [his/her] [form of identification provided]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r>
        <w:rPr>
          <w:rFonts w:ascii="Times New Roman" w:hAnsi="Times New Roman" w:eastAsia="Times New Roman" w:cs="Times New Roman"/>
          <w:sz w:val="24"/>
        </w:rPr>
        <w:br/>
      </w:r>
      <w:r>
        <w:rPr>
          <w:rFonts w:ascii="Times New Roman" w:hAnsi="Times New Roman" w:eastAsia="Times New Roman" w:cs="Times New Roman"/>
          <w:b/>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