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Civil Litigation: Branerton Letter</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Attorney</w:t>
      </w:r>
    </w:p>
    <w:p>
      <w:pPr>
        <w:keepNext w:val="0"/>
        <w:spacing w:before="200" w:after="0" w:line="260" w:lineRule="exact"/>
        <w:ind w:left="360" w:right="0" w:firstLine="0"/>
        <w:jc w:val="both"/>
      </w:pPr>
      <w:r>
        <w:rPr>
          <w:rFonts w:ascii="Times New Roman" w:hAnsi="Times New Roman" w:eastAsia="Times New Roman" w:cs="Times New Roman"/>
          <w:b w:val="0"/>
          <w:sz w:val="24"/>
        </w:rPr>
        <w:t>Office of Chief Counsel</w:t>
      </w:r>
    </w:p>
    <w:p>
      <w:pPr>
        <w:keepNext w:val="0"/>
        <w:spacing w:before="200" w:after="0" w:line="260" w:lineRule="exact"/>
        <w:ind w:left="360" w:right="0" w:firstLine="0"/>
        <w:jc w:val="both"/>
      </w:pPr>
      <w:r>
        <w:rPr>
          <w:rFonts w:ascii="Times New Roman" w:hAnsi="Times New Roman" w:eastAsia="Times New Roman" w:cs="Times New Roman"/>
          <w:b w:val="0"/>
          <w:sz w:val="24"/>
        </w:rPr>
        <w:t>Internal Revenue Service</w:t>
      </w:r>
    </w:p>
    <w:p>
      <w:pPr>
        <w:keepNext w:val="0"/>
        <w:spacing w:before="200" w:after="0" w:line="260" w:lineRule="exact"/>
        <w:ind w:left="360" w:right="0" w:firstLine="0"/>
        <w:jc w:val="both"/>
      </w:pPr>
      <w:r>
        <w:rPr>
          <w:rFonts w:ascii="Times New Roman" w:hAnsi="Times New Roman" w:eastAsia="Times New Roman" w:cs="Times New Roman"/>
          <w:b w:val="0"/>
          <w:sz w:val="24"/>
        </w:rPr>
        <w:t>[Office Address]</w:t>
      </w:r>
    </w:p>
    <w:p>
      <w:pPr>
        <w:keepNext w:val="0"/>
        <w:spacing w:before="200" w:after="0" w:line="260" w:lineRule="exact"/>
        <w:ind w:left="360" w:right="0" w:firstLine="0"/>
        <w:jc w:val="both"/>
      </w:pPr>
      <w:r>
        <w:rPr>
          <w:rFonts w:ascii="Times New Roman" w:hAnsi="Times New Roman" w:eastAsia="Times New Roman" w:cs="Times New Roman"/>
          <w:b w:val="0"/>
          <w:sz w:val="24"/>
        </w:rPr>
        <w:t>Re: Estate of [Name of Taxpayer], Donor,</w:t>
      </w:r>
    </w:p>
    <w:p>
      <w:pPr>
        <w:keepNext w:val="0"/>
        <w:spacing w:before="200" w:after="0" w:line="260" w:lineRule="exact"/>
        <w:ind w:left="360" w:right="0" w:firstLine="0"/>
        <w:jc w:val="both"/>
      </w:pPr>
      <w:r>
        <w:rPr>
          <w:rFonts w:ascii="Times New Roman" w:hAnsi="Times New Roman" w:eastAsia="Times New Roman" w:cs="Times New Roman"/>
          <w:b w:val="0"/>
          <w:sz w:val="24"/>
        </w:rPr>
        <w:t>Deceased, [Name], et al.,</w:t>
      </w:r>
    </w:p>
    <w:p>
      <w:pPr>
        <w:keepNext w:val="0"/>
        <w:spacing w:before="200" w:after="0" w:line="260" w:lineRule="exact"/>
        <w:ind w:left="360" w:right="0" w:firstLine="0"/>
        <w:jc w:val="both"/>
      </w:pPr>
      <w:r>
        <w:rPr>
          <w:rFonts w:ascii="Times New Roman" w:hAnsi="Times New Roman" w:eastAsia="Times New Roman" w:cs="Times New Roman"/>
          <w:b w:val="0"/>
          <w:sz w:val="24"/>
        </w:rPr>
        <w:t>Executors v. Commissioner of Internal Revenue</w:t>
      </w:r>
    </w:p>
    <w:p>
      <w:pPr>
        <w:keepNext w:val="0"/>
        <w:spacing w:before="200" w:after="0" w:line="260" w:lineRule="exact"/>
        <w:ind w:left="360" w:right="0" w:firstLine="0"/>
        <w:jc w:val="both"/>
      </w:pPr>
      <w:r>
        <w:rPr>
          <w:rFonts w:ascii="Times New Roman" w:hAnsi="Times New Roman" w:eastAsia="Times New Roman" w:cs="Times New Roman"/>
          <w:b w:val="0"/>
          <w:sz w:val="24"/>
        </w:rPr>
        <w:t>Docket No. [Enter Docket No.]</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Set forth below are petitioners’ informal discovery requests issued pursuant to the holding in the case of Branerton Corp. v. Commissioner, 61 T.C. 691 (1974).</w:t>
      </w:r>
    </w:p>
    <w:p>
      <w:pPr>
        <w:keepNext w:val="0"/>
        <w:spacing w:before="120" w:after="0" w:line="260" w:lineRule="exact"/>
        <w:ind w:left="360" w:right="0" w:firstLine="0"/>
        <w:jc w:val="left"/>
      </w:pPr>
      <w:r>
        <w:rPr>
          <w:rFonts w:ascii="Times New Roman" w:hAnsi="Times New Roman" w:eastAsia="Times New Roman" w:cs="Times New Roman"/>
          <w:b/>
          <w:sz w:val="24"/>
        </w:rPr>
        <w:t>PETITIONERS’ INFORMAL REQUESTS</w:t>
      </w:r>
      <w:r>
        <w:rPr>
          <w:rFonts w:ascii="Times New Roman" w:hAnsi="Times New Roman" w:eastAsia="Times New Roman" w:cs="Times New Roman"/>
          <w:sz w:val="24"/>
        </w:rPr>
        <w:br/>
      </w:r>
      <w:r>
        <w:rPr>
          <w:rFonts w:ascii="Times New Roman" w:hAnsi="Times New Roman" w:eastAsia="Times New Roman" w:cs="Times New Roman"/>
          <w:b/>
          <w:sz w:val="24"/>
        </w:rPr>
        <w:t>FOR PRODUCTION OF DOCUMENTS</w:t>
      </w:r>
    </w:p>
    <w:p>
      <w:pPr>
        <w:keepNext w:val="0"/>
        <w:spacing w:before="200" w:after="0" w:line="260" w:lineRule="exact"/>
        <w:ind w:left="720" w:right="0" w:firstLine="0"/>
        <w:jc w:val="both"/>
      </w:pPr>
      <w:r>
        <w:rPr>
          <w:rFonts w:ascii="Times New Roman" w:hAnsi="Times New Roman" w:eastAsia="Times New Roman" w:cs="Times New Roman"/>
          <w:b w:val="0"/>
          <w:sz w:val="24"/>
        </w:rPr>
        <w:t>Petitioners hereby request that respondent produce for inspection and copying, on or before [month] [day], [year], the documents hereinafter described.</w:t>
      </w:r>
    </w:p>
    <w:p>
      <w:pPr>
        <w:keepNext w:val="0"/>
        <w:spacing w:before="120" w:after="0" w:line="260" w:lineRule="exact"/>
        <w:ind w:left="360" w:right="0" w:firstLine="0"/>
        <w:jc w:val="left"/>
      </w:pPr>
      <w:r>
        <w:rPr>
          <w:rFonts w:ascii="Times New Roman" w:hAnsi="Times New Roman" w:eastAsia="Times New Roman" w:cs="Times New Roman"/>
          <w:b/>
          <w:sz w:val="24"/>
        </w:rPr>
        <w:t>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 or “documents” means or refers to any written or graphic mater or other tangible thing of every kind or description, however produced or reproduced, whether draft, revision, or final, original or reproduction, including, but not limited to, correspondence, letters, rulings, statements, memoranda, notes, transcripts, minutes of meetings, intraoffice and interoffice communications, reports, revenue agent’s reports, international examiner’s reports, estate tax examiner’s reports, reports of consultants, forecasts, estimates, requests, legal pleadings and related papers, claims, summaries, instructions, descriptions, analyses, inspections, schedules, specifications, recommendations, inventories, studies, notices, contracts, agreements, approvals, authorizations, records, charts, lists, diagrams, microfilm, microfiche, photographs, magnetic tape recordings, teletype messages, films, computer printouts, books, manuals, affidavits, memoranda of interviews, statements of account, ledger sheets, statistical statements, appraisals, checks, receipts, instruments, or material similar to any of the foregoing, however denominated, which are in the possession, custody or control of respondent or to which respondent can obtain access.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document is to be produced, along with all drafts thereof, in its entirety, without abbreviation or expurgation.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document shall be produced in its original file folder, jacket or cover.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response to any item would require the production of documents being produced in response to another item,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cross-reference to the specific item under which such documents are being produced may be used in lieu of such reproduction.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request for documents should be construed as being inclusive, rather than exclusive. Thus, words importing the singular shall include the plural; words importing the plural shall include the singular; words importing one gender shall include all genders; “and” and “or” shall be construed conjunctively or disjunctively as necessary to make the request inclusive.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request for documents relating to the respondent, the petitioners, or any other entity shall be construed as including documents prepared, maintained, provided, signed, etc. by all individuals who are employees, officers, expert witnesses, representatives or agents of respondent, the petitioners, or such other entity.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request for documents is deemed to call for the production of privileged materials, or materials protected from disclosure by the work-product doctrine or otherwise,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of such documents is to be furnished containing the following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type of document (letter, memorandum, handwritten notes, etc.);</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date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author of the document and the name of any other person who participated in the preparation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addressee of the document and the names of any other recipients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subject matter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number of pages in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present custodian and present location of the document; and</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facts constituting the basis for withholding the document.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requested shall include all documents in respondent’s possession, custody or control.</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responsive to these requests which are not in the actual possession of counsel for respondent, but which are in the possession, custody or control of any employee, officer, expert witness, representative or agent of respondent, wherever located must be produced.</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documents requested shall include all documents in respondent’s possession, custody or control that were gathered, obtained or created in connection with the gift tax audits of petitioners for taxable years [19___], [19___], [19___], [20___], and [20___], and the estate tax audit of petitioners.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request for production of documents shall be deemed to be continuing to the fullest extent allowed by the Tax Court’s Rules of Practice and Procedure. If, after making its initial production, respondent obtains or becomes aware of other documents responsive to this request, respondent is required to produce such additional documents to petitioners within three (3) business days after receipt of such information.</w:t>
      </w:r>
    </w:p>
    <w:p>
      <w:pPr>
        <w:keepNext w:val="0"/>
        <w:spacing w:before="120" w:after="0" w:line="260" w:lineRule="exact"/>
        <w:ind w:left="360" w:right="0" w:firstLine="0"/>
        <w:jc w:val="left"/>
      </w:pPr>
      <w:r>
        <w:rPr>
          <w:rFonts w:ascii="Times New Roman" w:hAnsi="Times New Roman" w:eastAsia="Times New Roman" w:cs="Times New Roman"/>
          <w:b/>
          <w:sz w:val="24"/>
        </w:rPr>
        <w:t>TIME PERIOD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paragraph, this informal request for production of documents covers the period [month] [day], [year] to the present.</w:t>
      </w:r>
    </w:p>
    <w:p>
      <w:pPr>
        <w:keepNext w:val="0"/>
        <w:spacing w:before="120" w:after="0" w:line="260" w:lineRule="exact"/>
        <w:ind w:left="360" w:right="0" w:firstLine="0"/>
        <w:jc w:val="left"/>
      </w:pPr>
      <w:r>
        <w:rPr>
          <w:rFonts w:ascii="Times New Roman" w:hAnsi="Times New Roman" w:eastAsia="Times New Roman" w:cs="Times New Roman"/>
          <w:b/>
          <w:sz w:val="24"/>
        </w:rPr>
        <w:t>INFORMAL REQUESTS FOR DOCUMENTS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that respondent intends to use at the trial of this case.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that respondent intends to offer into evidence in the trial of this case either by stipulation of facts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letter requests for information, summonses, subpoenas, or any other information gathering items, issued by respondent in connection with the audits of petitioners and all documents obtained in responses thereto.</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and gift tax reports prepared by respondent’s estate tax attorneys, agents or examiners in connection with the audits of petitioners.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workpapers, notes, schedules, memoranda, activity records, and all other documents of respondent’s estate tax attorneys, agents or examiners who conducted the audits of petitioners.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and files relating to the audits of petitioners that contain information obtained from third parties.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witness statements, memoranda of interviews, affidavits, statements, depositions, transcripts, tapes, and all similar documents, obtain by respondent in connection with the audits of petitioners.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relating to the audits of petitioners that were provided to respondent by third parties.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that were provided to respondent by any representatives of petitioners, including petitioners, attorneys and accountants.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reports of Appeals Officers relating to petitioners.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expert witness reports prepared by or for respondent relating to the value of the stock of ABC Corporation, Inc.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reviewed, used or relied upon by respondent’s experts to determine the value of the stock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provided to respondent’s experts, whether considered or not, to determine the value of the stock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documents in the administrative files for petitioners not specifically identified above.</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non-privileged documents in the legal files of respondent relating to this case not specifically identified above.</w:t>
      </w:r>
    </w:p>
    <w:p>
      <w:pPr>
        <w:keepNext w:val="0"/>
        <w:spacing w:before="120" w:after="0" w:line="260" w:lineRule="exact"/>
        <w:ind w:left="360" w:right="0" w:firstLine="0"/>
        <w:jc w:val="left"/>
      </w:pPr>
      <w:r>
        <w:rPr>
          <w:rFonts w:ascii="Times New Roman" w:hAnsi="Times New Roman" w:eastAsia="Times New Roman" w:cs="Times New Roman"/>
          <w:b/>
          <w:sz w:val="24"/>
        </w:rPr>
        <w:t>PETITIONERS’ INFORMAL</w:t>
      </w:r>
      <w:r>
        <w:rPr>
          <w:rFonts w:ascii="Times New Roman" w:hAnsi="Times New Roman" w:eastAsia="Times New Roman" w:cs="Times New Roman"/>
          <w:sz w:val="24"/>
        </w:rPr>
        <w:br/>
      </w:r>
      <w:r>
        <w:rPr>
          <w:rFonts w:ascii="Times New Roman" w:hAnsi="Times New Roman" w:eastAsia="Times New Roman" w:cs="Times New Roman"/>
          <w:b/>
          <w:sz w:val="24"/>
        </w:rPr>
        <w:t>INTERROGATORIES TO RESPONDENT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State the names, addresses, and telephone numbers of all witnesses, including expert witnesses, that respondent will, or may, call to testify at trial.</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attention to this matter.</w:t>
      </w: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