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Claim Construction Opening Brief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UNITED STATES DISTRICT COURT</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____________________ </w:t>
      </w:r>
      <w:r>
        <w:rPr>
          <w:rFonts w:ascii="Times New Roman" w:hAnsi="Times New Roman" w:eastAsia="Times New Roman" w:cs="Times New Roman"/>
          <w:b/>
          <w:sz w:val="24"/>
        </w:rPr>
        <w:t>DISTRICT OF</w:t>
      </w:r>
      <w:r>
        <w:rPr>
          <w:rFonts w:ascii="Times New Roman" w:hAnsi="Times New Roman" w:eastAsia="Times New Roman" w:cs="Times New Roman"/>
          <w:b w:val="0"/>
          <w:sz w:val="24"/>
        </w:rPr>
        <w:t xml:space="preserve">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[PARTY]’S OPENING BRIEF IN SUPPORT OF [PARTY]’S</w:t>
      </w:r>
      <w:r>
        <w:rPr>
          <w:rFonts w:ascii="Times New Roman" w:hAnsi="Times New Roman" w:eastAsia="Times New Roman" w:cs="Times New Roman"/>
          <w:sz w:val="24"/>
        </w:rPr>
        <w:br/>
      </w:r>
      <w:r>
        <w:rPr>
          <w:rFonts w:ascii="Times New Roman" w:hAnsi="Times New Roman" w:eastAsia="Times New Roman" w:cs="Times New Roman"/>
          <w:b/>
          <w:sz w:val="24"/>
        </w:rPr>
        <w:t>PROPOSED CLAIM CONSTRUCTION</w:t>
      </w:r>
    </w:p>
    <w:p>
      <w:pPr>
        <w:keepNext w:val="0"/>
        <w:spacing w:before="120" w:after="0" w:line="260" w:lineRule="exact"/>
        <w:ind w:left="720" w:right="0" w:firstLine="0"/>
        <w:jc w:val="left"/>
      </w:pPr>
      <w:r>
        <w:rPr>
          <w:rFonts w:ascii="Times New Roman" w:hAnsi="Times New Roman" w:eastAsia="Times New Roman" w:cs="Times New Roman"/>
          <w:b/>
          <w:sz w:val="24"/>
        </w:rPr>
        <w:t>TABLE OF CONTENTS</w:t>
      </w:r>
    </w:p>
    <w:p>
      <w:pPr>
        <w:keepNext w:val="0"/>
        <w:spacing w:before="200" w:after="0" w:line="260" w:lineRule="exact"/>
        <w:ind w:left="1080" w:right="0" w:firstLine="0"/>
        <w:jc w:val="both"/>
      </w:pPr>
      <w:r>
        <w:rPr>
          <w:rFonts w:ascii="Times New Roman" w:hAnsi="Times New Roman" w:eastAsia="Times New Roman" w:cs="Times New Roman"/>
          <w:b/>
          <w:sz w:val="24"/>
        </w:rPr>
        <w:t>INTRODUCTION</w:t>
      </w:r>
    </w:p>
    <w:p>
      <w:pPr>
        <w:keepNext w:val="0"/>
        <w:spacing w:before="200" w:after="0" w:line="260" w:lineRule="exact"/>
        <w:ind w:left="1080" w:right="0" w:firstLine="0"/>
        <w:jc w:val="both"/>
      </w:pPr>
      <w:r>
        <w:rPr>
          <w:rFonts w:ascii="Times New Roman" w:hAnsi="Times New Roman" w:eastAsia="Times New Roman" w:cs="Times New Roman"/>
          <w:b/>
          <w:sz w:val="24"/>
        </w:rPr>
        <w:t>BACKGROUND</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TECHNOLOGY AT ISSUE</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ASSERTED PATENT</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PROSECUTION HISTORY OF THE ASSERTED PATENT</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ACCUSED PRODUCTS</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PRIOR CLAIM CONSTRUCTION RULINGS</w:t>
      </w:r>
    </w:p>
    <w:p>
      <w:pPr>
        <w:keepNext w:val="0"/>
        <w:spacing w:before="200" w:after="0" w:line="260" w:lineRule="exact"/>
        <w:ind w:left="1080" w:right="0" w:firstLine="0"/>
        <w:jc w:val="both"/>
      </w:pPr>
      <w:r>
        <w:rPr>
          <w:rFonts w:ascii="Times New Roman" w:hAnsi="Times New Roman" w:eastAsia="Times New Roman" w:cs="Times New Roman"/>
          <w:b/>
          <w:sz w:val="24"/>
        </w:rPr>
        <w:t>ARGUMENT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LEGAL FRAMEWORK FOR CLAIM CONSTRUCTION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[Party]’S PROPOSED CLAIM CONSTRUCTIONS SHOULD BE ADOPTED</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[First disputed claim limitation] (Claims [claim numbers that include the claim limitation at issue])</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[Party]’s Definition Is Supported By The Ordinary Meaning Of [term at issue]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[Opposing party]’s Definition Is Contrary To Established Claim Construction Methodology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[Second disputed claim limitation] (Claims [claim numbers that include the claim  limitation at issue])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[Third disputed claim limitation] (Claims [claim numbers that include the claim limitation at issue])</w:t>
      </w:r>
    </w:p>
    <w:p>
      <w:pPr>
        <w:keepNext w:val="0"/>
        <w:spacing w:before="200" w:after="0" w:line="260" w:lineRule="exact"/>
        <w:ind w:left="1080" w:right="0" w:firstLine="0"/>
        <w:jc w:val="both"/>
      </w:pPr>
      <w:r>
        <w:rPr>
          <w:rFonts w:ascii="Times New Roman" w:hAnsi="Times New Roman" w:eastAsia="Times New Roman" w:cs="Times New Roman"/>
          <w:b/>
          <w:sz w:val="24"/>
        </w:rPr>
        <w:t>CONCLUSION</w:t>
      </w:r>
    </w:p>
    <w:p>
      <w:pPr>
        <w:keepNext w:val="0"/>
        <w:spacing w:before="120" w:after="0" w:line="260" w:lineRule="exact"/>
        <w:ind w:left="720" w:right="0" w:firstLine="0"/>
        <w:jc w:val="left"/>
      </w:pPr>
      <w:r>
        <w:rPr>
          <w:rFonts w:ascii="Times New Roman" w:hAnsi="Times New Roman" w:eastAsia="Times New Roman" w:cs="Times New Roman"/>
          <w:b/>
          <w:sz w:val="24"/>
        </w:rPr>
        <w:t>TABLE OF AUTHORITIES</w:t>
      </w:r>
    </w:p>
    <w:p>
      <w:pPr>
        <w:keepNext w:val="0"/>
        <w:spacing w:before="120" w:after="0" w:line="260" w:lineRule="exact"/>
        <w:ind w:left="1080" w:right="0" w:firstLine="0"/>
        <w:jc w:val="left"/>
      </w:pPr>
      <w:r>
        <w:rPr>
          <w:rFonts w:ascii="Times New Roman" w:hAnsi="Times New Roman" w:eastAsia="Times New Roman" w:cs="Times New Roman"/>
          <w:b/>
          <w:sz w:val="24"/>
        </w:rPr>
        <w:t>Cases</w:t>
      </w:r>
    </w:p>
    <w:p>
      <w:pPr>
        <w:keepNext w:val="0"/>
        <w:spacing w:before="200" w:after="0" w:line="260" w:lineRule="exact"/>
        <w:ind w:left="1440" w:right="0" w:firstLine="0"/>
        <w:jc w:val="both"/>
      </w:pPr>
      <w:r>
        <w:rPr>
          <w:rFonts w:ascii="Times New Roman" w:hAnsi="Times New Roman" w:eastAsia="Times New Roman" w:cs="Times New Roman"/>
          <w:b w:val="0"/>
          <w:sz w:val="24"/>
        </w:rPr>
        <w:t>[List the case citations referenced in the brief in alphabetical order along with the page numbers where the citations appear]</w:t>
      </w:r>
    </w:p>
    <w:p>
      <w:pPr>
        <w:keepNext w:val="0"/>
        <w:spacing w:before="120" w:after="0" w:line="260" w:lineRule="exact"/>
        <w:ind w:left="1080" w:right="0" w:firstLine="0"/>
        <w:jc w:val="left"/>
      </w:pPr>
      <w:r>
        <w:rPr>
          <w:rFonts w:ascii="Times New Roman" w:hAnsi="Times New Roman" w:eastAsia="Times New Roman" w:cs="Times New Roman"/>
          <w:b/>
          <w:sz w:val="24"/>
        </w:rPr>
        <w:t>Statutes</w:t>
      </w:r>
    </w:p>
    <w:p>
      <w:pPr>
        <w:keepNext w:val="0"/>
        <w:spacing w:before="200" w:after="0" w:line="260" w:lineRule="exact"/>
        <w:ind w:left="1440" w:right="0" w:firstLine="0"/>
        <w:jc w:val="both"/>
      </w:pPr>
      <w:r>
        <w:rPr>
          <w:rFonts w:ascii="Times New Roman" w:hAnsi="Times New Roman" w:eastAsia="Times New Roman" w:cs="Times New Roman"/>
          <w:b w:val="0"/>
          <w:sz w:val="24"/>
        </w:rPr>
        <w:t>[List statutory citations referenced in the brief along with the page numbers where the citations appear]</w:t>
      </w:r>
    </w:p>
    <w:p>
      <w:pPr>
        <w:keepNext w:val="0"/>
        <w:spacing w:before="120" w:after="0" w:line="260" w:lineRule="exact"/>
        <w:ind w:left="1080" w:right="0" w:firstLine="0"/>
        <w:jc w:val="left"/>
      </w:pPr>
      <w:r>
        <w:rPr>
          <w:rFonts w:ascii="Times New Roman" w:hAnsi="Times New Roman" w:eastAsia="Times New Roman" w:cs="Times New Roman"/>
          <w:b/>
          <w:sz w:val="24"/>
        </w:rPr>
        <w:t>Other Authorities</w:t>
      </w:r>
    </w:p>
    <w:p>
      <w:pPr>
        <w:keepNext w:val="0"/>
        <w:spacing w:before="200" w:after="0" w:line="260" w:lineRule="exact"/>
        <w:ind w:left="1440" w:right="0" w:firstLine="0"/>
        <w:jc w:val="both"/>
      </w:pPr>
      <w:r>
        <w:rPr>
          <w:rFonts w:ascii="Times New Roman" w:hAnsi="Times New Roman" w:eastAsia="Times New Roman" w:cs="Times New Roman"/>
          <w:b w:val="0"/>
          <w:sz w:val="24"/>
        </w:rPr>
        <w:t>[List other citations referenced in the brief (e.g., dictionary definitions or treatise excerpts) along with the page numbers where the citations appear]</w:t>
      </w:r>
    </w:p>
    <w:p>
      <w:pPr>
        <w:keepNext w:val="0"/>
        <w:spacing w:before="120" w:after="0" w:line="260" w:lineRule="exact"/>
        <w:ind w:left="720" w:right="0" w:firstLine="0"/>
        <w:jc w:val="left"/>
      </w:pPr>
      <w:r>
        <w:rPr>
          <w:rFonts w:ascii="Times New Roman" w:hAnsi="Times New Roman" w:eastAsia="Times New Roman" w:cs="Times New Roman"/>
          <w:b/>
          <w:sz w:val="24"/>
        </w:rPr>
        <w:t>INTRODUCTION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Plaintiff [plaintiff’s name] has accused Defendant [defendant’s name] of infringing U.S. Patent No. [patent number] (“the asserted patent”). The asserted patent is directed to [brief description of the patented invention].</w:t>
      </w:r>
    </w:p>
    <w:p>
      <w:pPr>
        <w:keepNext w:val="0"/>
        <w:spacing w:before="200" w:after="0" w:line="260" w:lineRule="exact"/>
        <w:ind w:left="1080" w:right="0" w:firstLine="0"/>
        <w:jc w:val="both"/>
      </w:pPr>
      <w:r>
        <w:rPr>
          <w:rFonts w:ascii="Times New Roman" w:hAnsi="Times New Roman" w:eastAsia="Times New Roman" w:cs="Times New Roman"/>
          <w:b w:val="0"/>
          <w:sz w:val="24"/>
        </w:rPr>
        <w:t>The construction of the following claim terms is disputed, and their interpretation may be dispositive of one or more of the issues in this case: [list of disputed claim terms].</w:t>
      </w:r>
    </w:p>
    <w:p>
      <w:pPr>
        <w:keepNext w:val="0"/>
        <w:spacing w:before="200" w:after="0" w:line="260" w:lineRule="exact"/>
        <w:ind w:left="1080" w:right="0" w:firstLine="0"/>
        <w:jc w:val="both"/>
      </w:pPr>
      <w:r>
        <w:rPr>
          <w:rFonts w:ascii="Times New Roman" w:hAnsi="Times New Roman" w:eastAsia="Times New Roman" w:cs="Times New Roman"/>
          <w:b w:val="0"/>
          <w:sz w:val="24"/>
        </w:rPr>
        <w:t>In support of [party]’s proposed claim constructions, [party] files herewith the expert declaration of [expert’s name] (“[expert’s name] Decl.”). [Expert’s name]’s [expert report/summary of claim construction testimony] was served on opposing counsel in accordance with [court’s patent rules/case management order].</w:t>
      </w:r>
    </w:p>
    <w:p>
      <w:pPr>
        <w:keepNext w:val="0"/>
        <w:spacing w:before="200" w:after="0" w:line="260" w:lineRule="exact"/>
        <w:ind w:left="1080" w:right="0" w:firstLine="0"/>
        <w:jc w:val="both"/>
      </w:pPr>
      <w:r>
        <w:rPr>
          <w:rFonts w:ascii="Times New Roman" w:hAnsi="Times New Roman" w:eastAsia="Times New Roman" w:cs="Times New Roman"/>
          <w:b w:val="0"/>
          <w:sz w:val="24"/>
        </w:rPr>
        <w:t>Also filed in support of this brief is the declaration of [name of party’s attorney] (“the [attorney’s surname] Declaration”).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Court may resolve this case by construing the disputed claim limitations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consistent with the written description and prosecution history of the asserted patent in accordance with established claim construction methodology set forth by the Federal Circuit. As explained below, [opposing party] advocates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construction that is not supported by the written description and the prosecution history and is contrary to established principles of claim construction.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conferred to try to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on the meaning of some claim terms.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as set forth in the [attorney surname] Declaration, the parties have agreed that the following claim terms in the asserted patent have the following meanings:</w:t>
      </w:r>
    </w:p>
    <w:p>
      <w:pPr>
        <w:keepNext w:val="0"/>
        <w:spacing w:before="120" w:after="0" w:line="260" w:lineRule="exact"/>
        <w:ind w:left="720" w:right="0" w:firstLine="0"/>
        <w:jc w:val="left"/>
      </w:pPr>
      <w:r>
        <w:rPr>
          <w:rFonts w:ascii="Times New Roman" w:hAnsi="Times New Roman" w:eastAsia="Times New Roman" w:cs="Times New Roman"/>
          <w:b/>
          <w:sz w:val="24"/>
        </w:rPr>
        <w:t>BACKGROUND</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PARTIES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[Plaintiff’s name]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manufacturer and supplier of [products/services]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in [city and state]. [Defendant’s name]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manufacturer and supplier of [products/services]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in [city and state].</w:t>
      </w:r>
    </w:p>
    <w:p>
      <w:pPr>
        <w:keepNext w:val="0"/>
        <w:spacing w:before="120" w:after="0" w:line="260" w:lineRule="exact"/>
        <w:ind w:left="1440" w:right="0" w:firstLine="240"/>
        <w:jc w:val="left"/>
      </w:pPr>
      <w:r>
        <w:rPr>
          <w:rFonts w:ascii="Times New Roman" w:hAnsi="Times New Roman" w:eastAsia="Times New Roman" w:cs="Times New Roman"/>
          <w:b w:val="0"/>
          <w:sz w:val="24"/>
        </w:rPr>
        <w:t>[Party] was founded in [year] and quickly became successful by designing and selling innovative [products/services] to customers such as [example of types of customers].</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TECHNOLOGY AT ISSUE</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The following is background information on the technology at issue that may assist the Court in understanding the asserted patent. [Explain the technology]</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ASSERTED PATENT</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The asserted patent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[attorney surname] Declaration) issued on [date] and claims priority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provisional application filed on [date]. The text of the asserted claims (claim numbers [numbers of asserted claims]), showing the limitations that the parties are asking the court to construe in bold type, is annexed as Exhibit B to the [attorney surname] Declaration.</w:t>
      </w:r>
    </w:p>
    <w:p>
      <w:pPr>
        <w:keepNext w:val="0"/>
        <w:spacing w:before="120" w:after="0" w:line="260" w:lineRule="exact"/>
        <w:ind w:left="1440" w:right="0" w:firstLine="240"/>
        <w:jc w:val="left"/>
      </w:pPr>
      <w:r>
        <w:rPr>
          <w:rFonts w:ascii="Times New Roman" w:hAnsi="Times New Roman" w:eastAsia="Times New Roman" w:cs="Times New Roman"/>
          <w:b w:val="0"/>
          <w:sz w:val="24"/>
        </w:rPr>
        <w:t>The Abstract of the asserted patent summarizes the invention as follows: [quote the abstract]. The patent further describes the invention as follows: [quote or paraphrase the parts of the patent that provide information that is important for claim construction]. See, asserted patent Col. [patent column number]: lines [line number] – [line number].</w:t>
      </w:r>
    </w:p>
    <w:p>
      <w:pPr>
        <w:keepNext w:val="0"/>
        <w:spacing w:before="120" w:after="0" w:line="260" w:lineRule="exact"/>
        <w:ind w:left="1440" w:right="0" w:firstLine="240"/>
        <w:jc w:val="left"/>
      </w:pPr>
      <w:r>
        <w:rPr>
          <w:rFonts w:ascii="Times New Roman" w:hAnsi="Times New Roman" w:eastAsia="Times New Roman" w:cs="Times New Roman"/>
          <w:b w:val="0"/>
          <w:sz w:val="24"/>
        </w:rPr>
        <w:t>The patent also teaches as follows: [describe other key teachings of the patent that the court should take into account when construing the claims]. The patent further indicates that [reference other important statements in the patent specification].</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PROSECUTION HISTORY OF THE ASSERTED PATENT</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Excerpts from the prosecution history of the asserted patent are annexed as Exhibit C to the [attorney surname] Declaration. Of significance to the claim construction dispute is the Office Action dated [date of office action] and the applicant’s response thereto dated [date of applicant’s response], wherein the applicant stated as follows: [quote the pertinent part of the response].</w:t>
      </w:r>
    </w:p>
    <w:p>
      <w:pPr>
        <w:keepNext w:val="0"/>
        <w:spacing w:before="120" w:after="0" w:line="260" w:lineRule="exact"/>
        <w:ind w:left="108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ACCUSED PRODUCTS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The accused products are [identify accused products]. The accused products contain the following features that are at issue in this case: [identify the pertinent features].</w:t>
      </w:r>
    </w:p>
    <w:p>
      <w:pPr>
        <w:keepNext w:val="0"/>
        <w:spacing w:before="120" w:after="0" w:line="260" w:lineRule="exact"/>
        <w:ind w:left="108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CLAIM CONSTRUCTION RULINGS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proceeding before [name of court or administrative tribunal], entitled [title of civil action or administrative proceeding], [civil action number or administrative proceeding number], the following claim limitations of [the asserted patent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patent] were construed as follows:</w:t>
      </w:r>
    </w:p>
    <w:p>
      <w:pPr>
        <w:keepNext w:val="0"/>
        <w:spacing w:before="120" w:after="0" w:line="260" w:lineRule="exact"/>
        <w:ind w:left="1440" w:right="0" w:firstLine="240"/>
        <w:jc w:val="left"/>
      </w:pPr>
      <w:r>
        <w:rPr>
          <w:rFonts w:ascii="Times New Roman" w:hAnsi="Times New Roman" w:eastAsia="Times New Roman" w:cs="Times New Roman"/>
          <w:b w:val="0"/>
          <w:sz w:val="24"/>
        </w:rPr>
        <w:t>See the [name of court or administrative tribunal]’s claim construction order dated [date] (Exhibit D to the [attorney surname] Declaration).</w:t>
      </w:r>
    </w:p>
    <w:p>
      <w:pPr>
        <w:keepNext w:val="0"/>
        <w:spacing w:before="120" w:after="0" w:line="260" w:lineRule="exact"/>
        <w:ind w:left="720" w:right="0" w:firstLine="0"/>
        <w:jc w:val="left"/>
      </w:pPr>
      <w:r>
        <w:rPr>
          <w:rFonts w:ascii="Times New Roman" w:hAnsi="Times New Roman" w:eastAsia="Times New Roman" w:cs="Times New Roman"/>
          <w:b/>
          <w:sz w:val="24"/>
        </w:rPr>
        <w:t>ARGUMENT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LEGAL FRAMEWORK FOR CLAIM CONSTRUCTION</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“The construction of claims is simply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way of elaborating the normally terse claim language in order to understand and explain, but not to change, the scope of the claims.” DeMarini Sports, Inc. v. Worth, Inc., 239 F.3d 1314, 1322-23 (Fed. Cir. 2001) (quoting Embrex, Inc. v. Service Eng'g Corp., 216 F.3d 1343, 1347 (Fed. Cir. 2000)).</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Claim construction does not have to be done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vacuum. Consideration and understanding of the accused product may provide the court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meaningful context for claim construction. See Wilson Sporting Goods Co. v. Hillerich &amp; Bradsby Co., 442 F.3d 1322, 1326-27 (Fed. Cir. 2006). However, this does not mean that claim construction can be influenced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owner’s theory of infringement. The Federal Circuit has cautioned that claim terms are not to be construed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eye towards the accused product. See, e.g., SRI Int’l v. Matsushita Elec. Corp. of Am., 775 F.2d 1107, 1118 (Fed. Cir. 1985) (en banc).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The general methodology to be employed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in construing the claims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is set forth in the Federal Circuit’s en banc opinion in Phillips v. AWH Corp., 415 F.3d 1303 (Fed. Cir. 2005), cert. denied, 546 U.S. 1170, 126 S. Ct. 1332 (2006). The words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are generally given their ordinary and customary meaning as understood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when read in the context of the specification and prosecution history. See Id. at 1313. There are only two exceptions to this general rule: 1)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patentee sets 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definition and acts as his own lexicographer, or 2) when the patentee disavows the full scope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term either in the specification or during prosecution. Thorner v. Sony Computer Entm't Am. LLC, 669 F.3d 1362, 1365 (Fed. Cir. 2012).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To act as its own lexicographer,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patentee must "clearly set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definition of the disputed claim term" other than its plain and ordinary meaning. CCS Fitness, Inc. v. Brunswick Corp., 288 F.3d 1359, 1366 (Fed. Cir. 2002). It is not enough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patentee to simply disclose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embodiment or 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word in the same manner in all embodiments; the patentee must "clearly express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 to redefine the term. For example, in 3M Innovative Properties Co. v. Avery Dennison Corp., 350 F.3d 1365, 1369, 1371 (Fed. Cir. 2003), cert. denied 542 U.S. 920, 124 S. Ct. 2877 (2004), the court held that the patentee acted as its own lexicographer when the specification stated: "'Multiple embossed' means two or more embossing patterns are superimposed on the web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complex pattern of differing depths of embossing." The standard for finding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disavowal of claim scope is also exacting. "The patentee may demonstrate intent to deviate from the ordinary and accustomed meaning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term by including in the specification expressions of manifest exclusion or restriction, representing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disavowal of claim scope." Teleflex, Inc. v. Ficosa N. Am. Corp., 299 F.3d 1313, 1325 (Fed. Cir. 2002).</w:t>
      </w:r>
    </w:p>
    <w:p>
      <w:pPr>
        <w:keepNext w:val="0"/>
        <w:spacing w:before="120" w:after="0" w:line="260" w:lineRule="exact"/>
        <w:ind w:left="1440" w:right="0" w:firstLine="24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disputed term should be construed by first examining the intrinsic evidence of record from the perspective of one skilled in the relevant art. See Phillips, 415 F.3d at 1313-1314. “The construction that stays true to the claim language and most naturally aligns with the patent's description of the invention will be, in the end, the correct construction.” Id. at 1316 (citation omitted). In addition to the specification,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court’s claim construction may be informed by the prosecution history, which is part of the intrinsic evidence that the court may consider. Id. at 1317.</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The court may also consider extrinsic evidence such as dictionary definitions and expert testimony to understand the ordinary meaning of claim terms, the pertinent technical background, and how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would understand claim language. When extrinsic evidence is considered, the court may make findings as to any disputed facts. In such cases, the Supreme Court has instructed that the “district judge, after deciding the factual dispute, will interpret the patent claim in light of the facts as he had found them,” while the “ultimate interpretation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conclusion.” Teva Pharm. USA, Inc. v. Sandoz, Inc., 135 S. Ct. 831, 840-841 (2015).</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[Party]’S PROPOSED CLAIM CONSTRUCTIONS SHOULD BE ADOPTED</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[First disputed claim limitation] (Claims [claim numbers that include the claim limitation at issue])</w:t>
      </w:r>
    </w:p>
    <w:p>
      <w:pPr>
        <w:keepNext w:val="0"/>
        <w:spacing w:before="120" w:after="0" w:line="260" w:lineRule="exact"/>
        <w:ind w:left="180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[Party]’s Definition Is Supported By The Ordinary Meaning Of [term at issue]</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The term [claim term at issue] must be given its ordinary and customary meaning as understood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when read in the context of the patent. Neither of the exceptions to the “ordinary meaning” standard applies here since the patent does not set 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definition of [claim term at issue] nor is there any clear disavowal of the ordinary meaning of the word in the patent or the prosecution history.</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The term [claim term at issue] in its ordinary meaning denotes [ordinary meaning of term]. See Exhibit E to [attorney surname] Declaration,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excerpt from the [dictionary name] dictionary which provides the following definition: [dictionary definition].</w:t>
      </w:r>
    </w:p>
    <w:p>
      <w:pPr>
        <w:keepNext w:val="0"/>
        <w:spacing w:before="120" w:after="0" w:line="260" w:lineRule="exact"/>
        <w:ind w:left="2160" w:right="0" w:firstLine="240"/>
        <w:jc w:val="left"/>
      </w:pPr>
      <w:r>
        <w:rPr>
          <w:rFonts w:ascii="Times New Roman" w:hAnsi="Times New Roman" w:eastAsia="Times New Roman" w:cs="Times New Roman"/>
          <w:b w:val="0"/>
          <w:sz w:val="24"/>
        </w:rPr>
        <w:t>The asserted patent repeatedly describes the [claim term at issue] as [description from the asserted patent]. (See, e.g., asserted patent, Col. [column number]: [line number] – [line number]).</w:t>
      </w:r>
    </w:p>
    <w:p>
      <w:pPr>
        <w:keepNext w:val="0"/>
        <w:spacing w:before="120" w:after="0" w:line="260" w:lineRule="exact"/>
        <w:ind w:left="2160" w:right="0" w:firstLine="240"/>
        <w:jc w:val="left"/>
      </w:pPr>
      <w:r>
        <w:rPr>
          <w:rFonts w:ascii="Times New Roman" w:hAnsi="Times New Roman" w:eastAsia="Times New Roman" w:cs="Times New Roman"/>
          <w:b w:val="0"/>
          <w:sz w:val="24"/>
        </w:rPr>
        <w:t>Consistent with this description, the patent drawings depict [description of pertinent drawings]. See, e.g., Fig. [figure number], part [part number]; FIG. [figure number], part [part number].</w:t>
      </w:r>
    </w:p>
    <w:p>
      <w:pPr>
        <w:keepNext w:val="0"/>
        <w:spacing w:before="120" w:after="0" w:line="260" w:lineRule="exact"/>
        <w:ind w:left="2160" w:right="0" w:firstLine="240"/>
        <w:jc w:val="left"/>
      </w:pPr>
      <w:r>
        <w:rPr>
          <w:rFonts w:ascii="Times New Roman" w:hAnsi="Times New Roman" w:eastAsia="Times New Roman" w:cs="Times New Roman"/>
          <w:b w:val="0"/>
          <w:sz w:val="24"/>
        </w:rPr>
        <w:t>See also [expert]’s Decl. ¶¶ [relevant paragraph numbers of expert’s declaration] explaining that [claim term at issue] is employed and understood in the art according to its ordinary meaning and does not have the special meaning ascribed to it by [opposing party].</w:t>
      </w:r>
    </w:p>
    <w:p>
      <w:pPr>
        <w:keepNext w:val="0"/>
        <w:spacing w:before="120" w:after="0" w:line="260" w:lineRule="exact"/>
        <w:ind w:left="2160" w:right="0" w:firstLine="240"/>
        <w:jc w:val="left"/>
      </w:pPr>
      <w:r>
        <w:rPr>
          <w:rFonts w:ascii="Times New Roman" w:hAnsi="Times New Roman" w:eastAsia="Times New Roman" w:cs="Times New Roman"/>
          <w:b w:val="0"/>
          <w:sz w:val="24"/>
        </w:rPr>
        <w:t>Other courts have construed this term in other patents in accordance with this same ordinary meaning. See, for example, [cite cases where other courts have construed the same term in other patents in accordance with the same ordinary meaning].</w:t>
      </w:r>
    </w:p>
    <w:p>
      <w:pPr>
        <w:keepNext w:val="0"/>
        <w:spacing w:before="120" w:after="0" w:line="260" w:lineRule="exact"/>
        <w:ind w:left="180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[Opposing party]’s Definition Is Contrary To Established Claim Construction Methodology.</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[Opposing party]’s proposed definition would effectively write the claim term [disputed claim term] out of the claim by rendering it superfluous.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construction is impermissible.</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well-established principle of claim construction that “all claim terms are presumed to have meaning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Innova/Pure Water, Inc. v. Safari Water Filtration Sys., Inc., 381 F.3d 1111, 1119 (Fed. Cir. 2004). In construing claims,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is not permitted to write claim limitations out of the claim or construe different claim terms to mean the same thing. See Bicon, Inc. v. Straumann Co., 441 F.3d 945, 950-951 (Fed. Cir. 2006).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also Digital-Vending Servs. Int'l, LLC v. Univ. of Phoenix, Inc., 672 F.3d 1270, 1275 (Fed. Cir. 2012) (“If "registration server" were construed to inherently contain the "free of content managed by the architecture" characteristic, the additional "each registration server being further characterized in that it is free of content managed by the architecture" language in many of the asserted claims would be superfluous); Apple Inc. v. Motorola, Inc., 757 F.3d 1286, 1305 (Fed. Cir. 2014) (holding that Apple’s proposed claim construction was incorrect because it read the claim term "analyzer server" out of the claim).</w:t>
      </w:r>
    </w:p>
    <w:p>
      <w:pPr>
        <w:keepNext w:val="0"/>
        <w:spacing w:before="120" w:after="0" w:line="260" w:lineRule="exact"/>
        <w:ind w:left="2160" w:right="0" w:firstLine="240"/>
        <w:jc w:val="left"/>
      </w:pPr>
      <w:r>
        <w:rPr>
          <w:rFonts w:ascii="Times New Roman" w:hAnsi="Times New Roman" w:eastAsia="Times New Roman" w:cs="Times New Roman"/>
          <w:b w:val="0"/>
          <w:sz w:val="24"/>
        </w:rPr>
        <w:t>[Describe why opposing party’s definition of the claim term at issue would render another claim term superfluous]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[Second disputed claim limitation] (Claims [claim numbers that include the claim limitation at issue])</w:t>
      </w:r>
    </w:p>
    <w:p>
      <w:pPr>
        <w:keepNext w:val="0"/>
        <w:spacing w:before="120" w:after="0" w:line="260" w:lineRule="exact"/>
        <w:ind w:left="1800" w:right="0" w:firstLine="240"/>
        <w:jc w:val="left"/>
      </w:pPr>
      <w:r>
        <w:rPr>
          <w:rFonts w:ascii="Times New Roman" w:hAnsi="Times New Roman" w:eastAsia="Times New Roman" w:cs="Times New Roman"/>
          <w:b w:val="0"/>
          <w:sz w:val="24"/>
        </w:rPr>
        <w:t>The construction of this claim limitation is governed by 35 U.S.C. § 112(f). Under Section 112(f)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]n element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may be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means or step for performing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function without the recital of structure, material, or acts in support thereof, and such claim shall be construed to cover the corresponding structure, material, or acts described in the specification and equivalents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limitation that is expressed in this manner is known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“means-plus-function” limitation.</w:t>
      </w:r>
    </w:p>
    <w:p>
      <w:pPr>
        <w:keepNext w:val="0"/>
        <w:spacing w:before="120" w:after="0" w:line="260" w:lineRule="exact"/>
        <w:ind w:left="1800" w:right="0" w:firstLine="24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limitation that uses the word "means" will invoke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rebuttable presumption that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means-plus-function clause. Personalized Media Commc’ns, LLC v. ITC, 161 F.3d 696, 703-04 (Fed. Cir. 1998). 35 U.S. C. § 112(f) directs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means-plus-function clause “shall be construed to cover the corresponding structure, material, or acts described in the specification and equivalents thereof.”</w:t>
      </w:r>
    </w:p>
    <w:p>
      <w:pPr>
        <w:keepNext w:val="0"/>
        <w:spacing w:before="120" w:after="0" w:line="260" w:lineRule="exact"/>
        <w:ind w:left="1800" w:right="0" w:firstLine="24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structure disclosed in the specification qualifies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“corresponding” structure only if the specification or the prosecution history clearly links or associates that structure to the function recited in the claim. Default Proof Credit Card Sys. v. Home Depot U.S.</w:t>
      </w:r>
      <w:r>
        <w:rPr>
          <w:rFonts w:ascii="Times New Roman" w:hAnsi="Times New Roman" w:eastAsia="Times New Roman" w:cs="Times New Roman"/>
          <w:b/>
          <w:sz w:val="24"/>
        </w:rPr>
        <w:t>A</w:t>
      </w:r>
      <w:r>
        <w:rPr>
          <w:rFonts w:ascii="Times New Roman" w:hAnsi="Times New Roman" w:eastAsia="Times New Roman" w:cs="Times New Roman"/>
          <w:b w:val="0"/>
          <w:sz w:val="24"/>
        </w:rPr>
        <w:t>., Inc., 412 F.3d 1291 (Fed. Cir. 2005); Kahn v. General Motors Corp., 135 F.3d 1472, 1476 (Fed. Cir. 1998).</w:t>
      </w:r>
    </w:p>
    <w:p>
      <w:pPr>
        <w:keepNext w:val="0"/>
        <w:spacing w:before="120" w:after="0" w:line="260" w:lineRule="exact"/>
        <w:ind w:left="1800" w:right="0" w:firstLine="240"/>
        <w:jc w:val="left"/>
      </w:pPr>
      <w:r>
        <w:rPr>
          <w:rFonts w:ascii="Times New Roman" w:hAnsi="Times New Roman" w:eastAsia="Times New Roman" w:cs="Times New Roman"/>
          <w:b w:val="0"/>
          <w:sz w:val="24"/>
        </w:rPr>
        <w:t>The structure disclosed in the specification that is clearly linked to the function recited in this claim limitation is [identify the structure]. See asserted patent, Col. [column number]: [line number] – [line number]. Under 35 U.S.C. § 112(f), this means plus function claim limitation must, therefore, be construed to mean [identified structure] and equivalents of the [identified structure].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disputed claim limitation] (Claims [claim numbers that include the claim limitation at issue])</w:t>
      </w:r>
    </w:p>
    <w:p>
      <w:pPr>
        <w:keepNext w:val="0"/>
        <w:spacing w:before="120" w:after="0" w:line="260" w:lineRule="exact"/>
        <w:ind w:left="720" w:right="0" w:firstLine="0"/>
        <w:jc w:val="left"/>
      </w:pPr>
      <w:r>
        <w:rPr>
          <w:rFonts w:ascii="Times New Roman" w:hAnsi="Times New Roman" w:eastAsia="Times New Roman" w:cs="Times New Roman"/>
          <w:b/>
          <w:sz w:val="24"/>
        </w:rPr>
        <w:t>CONCLUSION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the above-stated reasons, [party]’s proposed claim construction is fully supported by the intrinsic evidence and by the principles of claim construction set forth in Federal Circuit cases and should be adopted by this Court.</w:t>
      </w:r>
    </w:p>
    <w:p>
      <w:pPr/>
    </w:p>
    <w:p>
      <w:pPr>
        <w:keepNext w:val="0"/>
        <w:spacing w:before="200" w:after="0" w:line="260" w:lineRule="exact"/>
        <w:ind w:left="1080" w:right="0" w:firstLine="0"/>
        <w:jc w:val="both"/>
      </w:pPr>
      <w:r>
        <w:rPr>
          <w:rFonts w:ascii="Times New Roman" w:hAnsi="Times New Roman" w:eastAsia="Times New Roman" w:cs="Times New Roman"/>
          <w:b w:val="0"/>
          <w:sz w:val="24"/>
        </w:rPr>
        <w:t>Respectfully submitted,</w:t>
      </w:r>
    </w:p>
    <w:p>
      <w:pPr>
        <w:keepNext w:val="0"/>
        <w:spacing w:before="120" w:after="0" w:line="260" w:lineRule="exact"/>
        <w:ind w:left="1080" w:right="0" w:firstLine="0"/>
        <w:jc w:val="left"/>
      </w:pPr>
      <w:r>
        <w:rPr>
          <w:rFonts w:ascii="Times New Roman" w:hAnsi="Times New Roman" w:eastAsia="Times New Roman" w:cs="Times New Roman"/>
          <w:b w:val="0"/>
          <w:sz w:val="24"/>
        </w:rPr>
        <w:t>DATED this [date]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[Counsel’s Name]</w:t>
      </w:r>
    </w:p>
    <w:p>
      <w:pPr>
        <w:keepNext w:val="0"/>
        <w:spacing w:before="120" w:after="0" w:line="260" w:lineRule="exact"/>
        <w:ind w:left="1080" w:right="0" w:firstLine="0"/>
        <w:jc w:val="left"/>
      </w:pPr>
      <w:r>
        <w:rPr>
          <w:rFonts w:ascii="Times New Roman" w:hAnsi="Times New Roman" w:eastAsia="Times New Roman" w:cs="Times New Roman"/>
          <w:b w:val="0"/>
          <w:sz w:val="24"/>
        </w:rPr>
        <w:t>(Bar No. [number])</w:t>
      </w:r>
    </w:p>
    <w:p>
      <w:pPr>
        <w:keepNext w:val="0"/>
        <w:spacing w:before="120" w:after="0" w:line="260" w:lineRule="exact"/>
        <w:ind w:left="1080" w:right="0" w:firstLine="0"/>
        <w:jc w:val="left"/>
      </w:pPr>
      <w:r>
        <w:rPr>
          <w:rFonts w:ascii="Times New Roman" w:hAnsi="Times New Roman" w:eastAsia="Times New Roman" w:cs="Times New Roman"/>
          <w:b w:val="0"/>
          <w:sz w:val="24"/>
        </w:rPr>
        <w:t>[Firm Name]</w:t>
      </w:r>
    </w:p>
    <w:p>
      <w:pPr>
        <w:keepNext w:val="0"/>
        <w:spacing w:before="120" w:after="0" w:line="260" w:lineRule="exact"/>
        <w:ind w:left="1080" w:right="0" w:firstLine="0"/>
        <w:jc w:val="left"/>
      </w:pPr>
      <w:r>
        <w:rPr>
          <w:rFonts w:ascii="Times New Roman" w:hAnsi="Times New Roman" w:eastAsia="Times New Roman" w:cs="Times New Roman"/>
          <w:b w:val="0"/>
          <w:sz w:val="24"/>
        </w:rPr>
        <w:t>[Address]</w:t>
      </w:r>
    </w:p>
    <w:p>
      <w:pPr>
        <w:keepNext w:val="0"/>
        <w:spacing w:before="120" w:after="0" w:line="260" w:lineRule="exact"/>
        <w:ind w:left="108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108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1080" w:right="0" w:firstLine="0"/>
        <w:jc w:val="left"/>
      </w:pPr>
      <w:r>
        <w:rPr>
          <w:rFonts w:ascii="Times New Roman" w:hAnsi="Times New Roman" w:eastAsia="Times New Roman" w:cs="Times New Roman"/>
          <w:b w:val="0"/>
          <w:sz w:val="24"/>
        </w:rPr>
        <w:t>E-mail: [E-mail]</w:t>
      </w:r>
    </w:p>
    <w:p>
      <w:pPr>
        <w:keepNext w:val="0"/>
        <w:spacing w:before="120" w:after="0" w:line="260" w:lineRule="exact"/>
        <w:ind w:left="72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[Party]’s Opening Brief In Support Of [Party]’s Proposed Claim Construction was served on the following parties by [form of service]:</w:t>
      </w:r>
    </w:p>
    <w:p>
      <w:pPr>
        <w:keepNext w:val="0"/>
        <w:spacing w:before="200" w:after="0" w:line="260" w:lineRule="exact"/>
        <w:ind w:left="1080" w:right="0" w:firstLine="0"/>
        <w:jc w:val="both"/>
      </w:pPr>
      <w:r>
        <w:rPr>
          <w:rFonts w:ascii="Times New Roman" w:hAnsi="Times New Roman" w:eastAsia="Times New Roman" w:cs="Times New Roman"/>
          <w:b w:val="0"/>
          <w:sz w:val="24"/>
        </w:rPr>
        <w:t>[Counsel’s Name]</w:t>
      </w:r>
    </w:p>
    <w:p>
      <w:pPr>
        <w:keepNext w:val="0"/>
        <w:spacing w:before="200" w:after="0" w:line="260" w:lineRule="exact"/>
        <w:ind w:left="1080" w:right="0" w:firstLine="0"/>
        <w:jc w:val="both"/>
      </w:pPr>
      <w:r>
        <w:rPr>
          <w:rFonts w:ascii="Times New Roman" w:hAnsi="Times New Roman" w:eastAsia="Times New Roman" w:cs="Times New Roman"/>
          <w:b w:val="0"/>
          <w:sz w:val="24"/>
        </w:rPr>
        <w:t>[Firm Name]</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[Counsel’s Name]</w:t>
      </w:r>
    </w:p>
    <w:p>
      <w:pPr>
        <w:keepNext w:val="0"/>
        <w:spacing w:before="200" w:after="0" w:line="260" w:lineRule="exact"/>
        <w:ind w:left="1080" w:right="0" w:firstLine="0"/>
        <w:jc w:val="both"/>
      </w:pPr>
      <w:r>
        <w:rPr>
          <w:rFonts w:ascii="Times New Roman" w:hAnsi="Times New Roman" w:eastAsia="Times New Roman" w:cs="Times New Roman"/>
          <w:b w:val="0"/>
          <w:sz w:val="24"/>
        </w:rPr>
        <w:t>[Firm Name]</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