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LexisNexis(R) Forms FORM 199-F12.01–3</w:t>
      </w:r>
    </w:p>
    <w:p>
      <w:pPr>
        <w:keepNext w:val="0"/>
        <w:spacing w:before="120" w:after="0" w:line="260" w:lineRule="exact"/>
        <w:ind w:left="0" w:right="0" w:firstLine="0"/>
        <w:jc w:val="center"/>
      </w:pPr>
      <w:r>
        <w:rPr>
          <w:rFonts w:ascii="Times New Roman" w:hAnsi="Times New Roman" w:eastAsia="Times New Roman" w:cs="Times New Roman"/>
          <w:b w:val="0"/>
          <w:sz w:val="24"/>
        </w:rPr>
        <w:t>Litigation</w:t>
      </w:r>
    </w:p>
    <w:p>
      <w:pPr>
        <w:keepNext w:val="0"/>
        <w:spacing w:before="120" w:after="0" w:line="260" w:lineRule="exact"/>
        <w:ind w:left="0" w:right="0" w:firstLine="0"/>
        <w:jc w:val="center"/>
      </w:pPr>
      <w:r>
        <w:rPr>
          <w:rFonts w:ascii="Times New Roman" w:hAnsi="Times New Roman" w:eastAsia="Times New Roman" w:cs="Times New Roman"/>
          <w:b w:val="0"/>
          <w:sz w:val="24"/>
        </w:rPr>
        <w:t>Complaint</w:t>
      </w:r>
    </w:p>
    <w:p>
      <w:pPr>
        <w:keepNext w:val="0"/>
        <w:spacing w:before="120" w:after="0" w:line="260" w:lineRule="exact"/>
        <w:ind w:left="0" w:right="0" w:firstLine="0"/>
        <w:jc w:val="center"/>
      </w:pPr>
      <w:r>
        <w:rPr>
          <w:rFonts w:ascii="Times New Roman" w:hAnsi="Times New Roman" w:eastAsia="Times New Roman" w:cs="Times New Roman"/>
          <w:b w:val="0"/>
          <w:sz w:val="24"/>
        </w:rPr>
        <w:t>All States</w:t>
      </w:r>
    </w:p>
    <w:p>
      <w:pPr>
        <w:keepNext w:val="0"/>
        <w:spacing w:after="0" w:line="240" w:lineRule="exact"/>
        <w:ind w:right="0"/>
        <w:jc w:val="both"/>
      </w:pPr>
    </w:p>
    <w:p>
      <w:pPr>
        <w:keepNext/>
        <w:spacing w:before="240" w:after="0" w:line="340" w:lineRule="exact"/>
        <w:ind w:left="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 xml:space="preserve">F12.01–3 Class Action Complaint for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Declaratory Judgment and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Injunction Against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Discriminatory At-Large Election System </w:t>
      </w:r>
    </w:p>
    <w:p>
      <w:pPr>
        <w:spacing w:line="60" w:lineRule="exact"/>
      </w:pPr>
    </w:p>
    <w:p>
      <w:pPr/>
    </w:p>
    <w:p>
      <w:pPr>
        <w:keepNext w:val="0"/>
        <w:spacing w:after="0" w:line="260" w:lineRule="exact"/>
        <w:ind w:left="0" w:right="0" w:firstLine="0"/>
        <w:jc w:val="left"/>
      </w:pPr>
      <w:r>
        <w:rPr>
          <w:rFonts w:ascii="Times New Roman" w:hAnsi="Times New Roman" w:eastAsia="Times New Roman" w:cs="Times New Roman"/>
          <w:sz w:val="24"/>
        </w:rPr>
        <w:br/>
      </w:r>
    </w:p>
    <w:p>
      <w:pPr>
        <w:keepNext w:val="0"/>
        <w:spacing w:before="240" w:after="0" w:line="260" w:lineRule="exact"/>
        <w:ind w:left="0" w:right="0" w:firstLine="0"/>
        <w:jc w:val="left"/>
      </w:pPr>
      <w:r>
        <w:rPr>
          <w:rFonts w:ascii="Times New Roman" w:hAnsi="Times New Roman" w:eastAsia="Times New Roman" w:cs="Times New Roman"/>
          <w:b/>
          <w:sz w:val="24"/>
        </w:rPr>
        <w:t xml:space="preserve">UNITED STATES DISTRICT COURT   District of </w:t>
      </w:r>
    </w:p>
    <w:p>
      <w:pPr>
        <w:keepNext w:val="0"/>
        <w:spacing w:before="60" w:after="0" w:line="260" w:lineRule="exact"/>
        <w:ind w:left="0" w:right="0" w:firstLine="0"/>
        <w:jc w:val="both"/>
      </w:pPr>
      <w:r>
        <w:rPr>
          <w:rFonts w:ascii="Times New Roman" w:hAnsi="Times New Roman" w:eastAsia="Times New Roman" w:cs="Times New Roman"/>
          <w:b w:val="0"/>
          <w:sz w:val="24"/>
        </w:rPr>
        <w:t xml:space="preserve"> Complaint</w:t>
      </w:r>
    </w:p>
    <w:p>
      <w:pPr>
        <w:keepNext w:val="0"/>
        <w:spacing w:before="240" w:after="0" w:line="260" w:lineRule="exact"/>
        <w:ind w:left="0" w:right="0" w:firstLine="0"/>
        <w:jc w:val="left"/>
      </w:pPr>
      <w:r>
        <w:rPr>
          <w:rFonts w:ascii="Times New Roman" w:hAnsi="Times New Roman" w:eastAsia="Times New Roman" w:cs="Times New Roman"/>
          <w:b/>
          <w:sz w:val="24"/>
        </w:rPr>
        <w:t>I. JURISDICTION</w:t>
      </w:r>
    </w:p>
    <w:p>
      <w:pPr>
        <w:keepNext w:val="0"/>
        <w:spacing w:before="240" w:after="0" w:line="260" w:lineRule="exact"/>
        <w:ind w:left="0" w:right="0" w:firstLine="0"/>
        <w:jc w:val="left"/>
      </w:pPr>
      <w:r>
        <w:rPr>
          <w:rFonts w:ascii="Times New Roman" w:hAnsi="Times New Roman" w:eastAsia="Times New Roman" w:cs="Times New Roman"/>
          <w:b/>
          <w:sz w:val="24"/>
        </w:rPr>
        <w:t>II. PARTIES</w:t>
      </w:r>
    </w:p>
    <w:p>
      <w:pPr>
        <w:keepNext w:val="0"/>
        <w:spacing w:before="240" w:after="0" w:line="260" w:lineRule="exact"/>
        <w:ind w:left="0" w:right="0" w:firstLine="0"/>
        <w:jc w:val="left"/>
      </w:pPr>
      <w:r>
        <w:rPr>
          <w:rFonts w:ascii="Times New Roman" w:hAnsi="Times New Roman" w:eastAsia="Times New Roman" w:cs="Times New Roman"/>
          <w:b/>
          <w:sz w:val="24"/>
        </w:rPr>
        <w:t>III. STATEMENT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16. Specifically, by Law, State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rather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plurality requirement in the primary elections. Under this provision, any candidate who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mere plurality must stand for election in the second primary. The white majority in the at-large scheme thus effectively prohibits any black candidate from gaining election.</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17. Also by Law, State law provides for “anti-single shot” or “full slate” voting, which in at-large elections forces the voter to cast ballots for candidates whom he does not support, as well as for the candidates he does support. The law prevents the racial voting minority in at-large elections from concentrating their support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minority candidate.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19. In the City,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continuing history of “bloc voting” under which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black candidate opposes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white candidate, the white voting majority consistently casts its votes for the white candidate.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22. Accordingly, the at-large scheme ensures that the white majority will continue to elect all members to the defendant City Council, while plaintiffs and their class will continue to have neither the opportunity to be elected, nor 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black City Councilman, all in violation of the fourteenth and fifteenth amendments to the United States Constitution and in deprivation of their rights thereunder.</w:t>
      </w:r>
    </w:p>
    <w:p>
      <w:pPr>
        <w:keepNext w:val="0"/>
        <w:spacing w:before="240" w:after="0" w:line="260" w:lineRule="exact"/>
        <w:ind w:left="0" w:right="0" w:firstLine="0"/>
        <w:jc w:val="left"/>
      </w:pPr>
      <w:r>
        <w:rPr>
          <w:rFonts w:ascii="Times New Roman" w:hAnsi="Times New Roman" w:eastAsia="Times New Roman" w:cs="Times New Roman"/>
          <w:b/>
          <w:sz w:val="24"/>
        </w:rPr>
        <w:t>IV. CAUSES OF ACTION</w:t>
      </w:r>
    </w:p>
    <w:p>
      <w:pPr>
        <w:keepNext w:val="0"/>
        <w:spacing w:before="240" w:after="0" w:line="260" w:lineRule="exact"/>
        <w:ind w:left="0" w:right="0" w:firstLine="0"/>
        <w:jc w:val="left"/>
      </w:pPr>
      <w:r>
        <w:rPr>
          <w:rFonts w:ascii="Times New Roman" w:hAnsi="Times New Roman" w:eastAsia="Times New Roman" w:cs="Times New Roman"/>
          <w:b/>
          <w:sz w:val="24"/>
        </w:rPr>
        <w:t>V. EQUITY</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26.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real and actual controversy between the parties. Plaintiffs have no adequate remedy at law. Plaintiffs are suffering irreparable injury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at-large election scheme challenged herein, and that scheme will be continued unless enjoined by this Court.</w:t>
      </w:r>
    </w:p>
    <w:p>
      <w:pPr>
        <w:keepNext w:val="0"/>
        <w:spacing w:before="240" w:after="0" w:line="260" w:lineRule="exact"/>
        <w:ind w:left="0" w:right="0" w:firstLine="0"/>
        <w:jc w:val="left"/>
      </w:pPr>
      <w:r>
        <w:rPr>
          <w:rFonts w:ascii="Times New Roman" w:hAnsi="Times New Roman" w:eastAsia="Times New Roman" w:cs="Times New Roman"/>
          <w:b/>
          <w:sz w:val="24"/>
        </w:rPr>
        <w:t>VI. COLOR OF LAW</w:t>
      </w:r>
    </w:p>
    <w:p>
      <w:pPr>
        <w:keepNext w:val="0"/>
        <w:spacing w:before="240" w:after="0" w:line="260" w:lineRule="exact"/>
        <w:ind w:left="0" w:right="0" w:firstLine="0"/>
        <w:jc w:val="left"/>
      </w:pPr>
      <w:r>
        <w:rPr>
          <w:rFonts w:ascii="Times New Roman" w:hAnsi="Times New Roman" w:eastAsia="Times New Roman" w:cs="Times New Roman"/>
          <w:b/>
          <w:sz w:val="24"/>
        </w:rPr>
        <w:t>VIII. PRAYER</w:t>
      </w:r>
    </w:p>
    <w:p>
      <w:pPr>
        <w:keepNext w:val="0"/>
        <w:spacing w:before="200" w:after="0" w:line="260" w:lineRule="exact"/>
        <w:ind w:left="0" w:right="0" w:firstLine="0"/>
        <w:jc w:val="both"/>
      </w:pPr>
      <w:r>
        <w:rPr>
          <w:rFonts w:ascii="Times New Roman" w:hAnsi="Times New Roman" w:eastAsia="Times New Roman" w:cs="Times New Roman"/>
          <w:b w:val="0"/>
          <w:sz w:val="24"/>
        </w:rPr>
        <w:t>WHEREFORE</w:t>
      </w:r>
      <w:r>
        <w:rPr>
          <w:rFonts w:ascii="Times New Roman" w:hAnsi="Times New Roman" w:eastAsia="Times New Roman" w:cs="Times New Roman"/>
          <w:b w:val="0"/>
          <w:sz w:val="24"/>
        </w:rPr>
        <w:t>, plaintiffs respectfully pray:</w:t>
      </w:r>
    </w:p>
    <w:p>
      <w:pPr>
        <w:keepNext w:val="0"/>
        <w:spacing w:before="200" w:after="0" w:line="260" w:lineRule="exact"/>
        <w:ind w:left="0" w:right="0" w:firstLine="0"/>
        <w:jc w:val="both"/>
      </w:pPr>
      <w:r>
        <w:rPr>
          <w:rFonts w:ascii="Times New Roman" w:hAnsi="Times New Roman" w:eastAsia="Times New Roman" w:cs="Times New Roman"/>
          <w:b w:val="0"/>
          <w:sz w:val="24"/>
        </w:rPr>
        <w:t>B. That this Court issue preliminary and permanent injunctions enjoining defendants from conducting any further elections under the at-large election plan.</w:t>
      </w:r>
    </w:p>
    <w:p>
      <w:pPr>
        <w:keepNext w:val="0"/>
        <w:spacing w:before="200" w:after="0" w:line="260" w:lineRule="exact"/>
        <w:ind w:left="0" w:right="0" w:firstLine="0"/>
        <w:jc w:val="both"/>
      </w:pPr>
      <w:r>
        <w:rPr>
          <w:rFonts w:ascii="Times New Roman" w:hAnsi="Times New Roman" w:eastAsia="Times New Roman" w:cs="Times New Roman"/>
          <w:b w:val="0"/>
          <w:sz w:val="24"/>
        </w:rPr>
        <w:t>E. That this Court grant such other legal and equitable relief, such as costs and attorney’s fees, as may be deemed just and proper.</w:t>
      </w:r>
    </w:p>
    <w:p>
      <w:pPr>
        <w:keepNext w:val="0"/>
        <w:spacing w:before="200" w:after="0" w:line="260" w:lineRule="exact"/>
        <w:ind w:left="0" w:right="0" w:firstLine="0"/>
        <w:jc w:val="right"/>
      </w:pPr>
      <w:r>
        <w:rPr>
          <w:rFonts w:ascii="Times New Roman" w:hAnsi="Times New Roman" w:eastAsia="Times New Roman" w:cs="Times New Roman"/>
          <w:b w:val="0"/>
          <w:sz w:val="24"/>
        </w:rPr>
        <w:t xml:space="preserve"> Attorney for Plaintiffs</w:t>
      </w:r>
    </w:p>
    <w:p>
      <w:pPr>
        <w:keepNext w:val="0"/>
        <w:spacing w:before="200" w:after="0" w:line="260" w:lineRule="exact"/>
        <w:ind w:left="0" w:right="0" w:firstLine="0"/>
        <w:jc w:val="right"/>
      </w:pPr>
      <w:r>
        <w:rPr>
          <w:rFonts w:ascii="Times New Roman" w:hAnsi="Times New Roman" w:eastAsia="Times New Roman" w:cs="Times New Roman"/>
          <w:b w:val="0"/>
          <w:sz w:val="24"/>
        </w:rPr>
        <w:t xml:space="preserve"> Office and P.O. Address</w:t>
      </w:r>
    </w:p>
    <w:p>
      <w:pPr>
        <w:keepNext w:val="0"/>
        <w:spacing w:before="120" w:after="0" w:line="220" w:lineRule="exact"/>
        <w:ind w:left="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Civil Rights Actions</w:t>
      </w:r>
    </w:p>
    <w:p>
      <w:pPr>
        <w:keepNext w:val="0"/>
        <w:spacing w:after="0" w:line="220" w:lineRule="exact"/>
        <w:ind w:left="0" w:right="0" w:firstLine="0"/>
        <w:jc w:val="left"/>
      </w:pPr>
      <w:r>
        <w:rPr>
          <w:rFonts w:ascii="Times New Roman" w:hAnsi="Times New Roman" w:eastAsia="Times New Roman" w:cs="Times New Roman"/>
          <w:b w:val="0"/>
          <w:sz w:val="24"/>
        </w:rPr>
        <w:t xml:space="preserve">Copyright 2022,  Matthew Bender &amp; Company, Inc.,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LexisNexis Group.</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