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Classified/Staggered Board Structure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Classification of Board of Directors.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Number and Classification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number of the members of the Board of Directors (“</w:t>
      </w:r>
      <w:r>
        <w:rPr>
          <w:rFonts w:ascii="Times New Roman" w:hAnsi="Times New Roman" w:eastAsia="Times New Roman" w:cs="Times New Roman"/>
          <w:b/>
          <w:sz w:val="24"/>
        </w:rPr>
        <w:t>Directors</w:t>
      </w:r>
      <w:r>
        <w:rPr>
          <w:rFonts w:ascii="Times New Roman" w:hAnsi="Times New Roman" w:eastAsia="Times New Roman" w:cs="Times New Roman"/>
          <w:b w:val="0"/>
          <w:sz w:val="24"/>
        </w:rPr>
        <w:t xml:space="preserve">”) which shall constitute the whole Board of Directors shall be [     ] [or] [as specified from time to time in the Bylaws of the Corporation (but in any event not fewer than three (3) [nor greater than [fifteen (15)], the exact number of which shall be fixed by the Board of Directors]]), except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increase in the number of Directors by reason of any default provisions with respect to any outstanding series of [Preferred Stock]. The Board of Directors [(excluding any Directors elected by reason of any default provisions with respect to any outstanding series of Preferred Stock)] shall be divided into three classes [as nearly] equal in number [as possible], being Class I, Class II and Class III. [The number of Directors in each class shall be the whole number contained in the quotient derived by dividing the authorized number of Directors by three, and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is also contained in the quotient, then if that fraction is one-third (1/3) then the extra Director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Class III, and if the fraction is two-thirds (2/3) then one of the extra Directors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Class III and the other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Class II.] Each Director shall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ending on the third annual meeting following the annual meeting at which such director was elected; provided, however, that the Directors first elected to Class I shall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ending on the annual meeting following their first election as Directors, the Directors first elected to Class II shall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ending on the second annual meeting following their first election as Directors, and the Directors first elected to Class III shall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term as hereinabove provided. The foregoing notwithstanding, each Director shall serve until his or her successor shall have been duly elected and qualified, or until he or she becomes disabled or is otherwise removed.</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and Re-designation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purposes of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of this Article [   ], reference to the first election of Directors shall signify the first election of Directors concurrent with or following the first date on which this Article [  ] shall become effective in accordance with the laws of the State of Delaware. At each annual election held thereafter, the Directors chosen to succeed those whose terms then expire shall be identified as being of the same class as the Directors they succeed. If for any reason the number of Directors in the various classes shall not conform with the formula set forth in the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of this Article [   ], the Board of Directors may (but shall not be required to) re-designate any Director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class in order that the balance of Directors in such classes shall conform thereto.</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Election and Removal of Directors; Vacancies.</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each annual meeting of stockholders, Directors chosen to succeed those whose terms then expire shall be elected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term ending upon the expiration of the term applicable to each such class as set forth in </w:t>
      </w:r>
      <w:r>
        <w:rPr>
          <w:rFonts w:ascii="Times New Roman" w:hAnsi="Times New Roman" w:eastAsia="Times New Roman" w:cs="Times New Roman"/>
          <w:b w:val="0"/>
          <w:sz w:val="24"/>
        </w:rPr>
        <w:t xml:space="preserve">Paragraph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Subject to the foregoing, Directors elected to fill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vacancy shall hold office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expiring at the annual meeting at which the term of the class to which they shall have been elected or assigned expires. No decrease in the number of Directors constituting the Board of Directors shall shorten the term of any incumbent Director.</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rights of the holders of any series of [Preferred Stock]  or any other series or class of stock as set forth in this [Restated] Certificate of Incorporation to elect additional directors under specific circumstances, any director may be removed from office at any time, but only for cause and only by the affirmative vote of the holders of at least [60] percent of the voting power of the [then outstanding voting stock] [shares entitled to vote 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of directors], voting together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class.</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applicable law and the rights of the holders of any series of [Preferred Stock] or any other series or class of stock as set forth in [this][the] [Restated] Certificate of Incorporation, and unless the Board of Directors otherwise determines, vacancies resulting from death, resignation, retirement, disqualification, removal from office or other cause, and newly created directorships resulting from any increase in the authorized number of directors, may be filled only by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remaining directors, though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the Board of Directors, and in the event that there is only one director remaining in office, by such sole remaining director], and directors so chosen shall hold office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expiring at the annual meeting of stockholders at which the term of office of the class to which they have been appointed expires and until such director’s successor shall have been duly elected and qualified.</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Classification of Board.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shall be divided into three classes, as more particularly set forth in the [Restated] Certificate of Incorporation.</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Express Powers of 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furtherance and not in limitation of the powers conferred by statute, the Board of Directors is expressly authorized:</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adopt, amend or repeal [the] [these] Bylaws of the Corporation; provided, however, that the Bylaws adopted by the Board of Directors under the powers hereby conferred may be amended or repealed by the Board of Directors or by the stockholders having voting power with respect thereto, provided further that in the case of amendments by stockholders, the affirmative vote of the holders of at least [80] percent of the voting power of the [then outstanding voting stock, voting together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class] [shares entitled to vote 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of directors], shall be required to alter, amend or repeal Article [   ], Section [   ] (Calling of Special Meetings), Article [   ], Section [   ] (Written Consent in Lieu of Meeting Not Permitted), Article [   ], Section [   ] (Management, Composition, Classification), Article [   ], Section 2 (Vacancy), Article [   ], Section [   ] (Removal), Article [   ] (Indemnification) or Article [   ] (Amendments) of the Bylaws.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