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140-52.4</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New York</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FORM52.4 Combined Real Estate Transfer Tax Return (Form TP 584)</w:t>
      </w:r>
    </w:p>
    <w:p>
      <w:pPr>
        <w:spacing w:line="60" w:lineRule="exact"/>
      </w:pPr>
    </w:p>
    <w:p>
      <w:pPr/>
    </w:p>
    <w:p>
      <w:pPr>
        <w:keepNext w:val="0"/>
        <w:spacing w:before="200" w:after="0" w:line="260" w:lineRule="exact"/>
        <w:ind w:left="0" w:right="0" w:firstLine="0"/>
        <w:jc w:val="both"/>
      </w:pPr>
      <w:r>
        <w:rPr>
          <w:rFonts w:ascii="Times New Roman" w:hAnsi="Times New Roman" w:eastAsia="Times New Roman" w:cs="Times New Roman"/>
          <w:b/>
          <w:sz w:val="24"/>
        </w:rPr>
        <w:t>Form:</w:t>
      </w:r>
      <w:r>
        <w:rPr>
          <w:rFonts w:ascii="Times New Roman" w:hAnsi="Times New Roman" w:eastAsia="Times New Roman" w:cs="Times New Roman"/>
          <w:b w:val="0"/>
          <w:sz w:val="24"/>
        </w:rPr>
        <w:t xml:space="preserve"> This form was revised in 2019. The earlier version was issued effective April 15, 2013, replacing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put in use in March 2007. The New York State Department of Taxation and Finance also issued revised “Instructions for Form TP-584” (TP-584-I). The 2013 alterations included the following changes to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right="0"/>
        <w:jc w:val="both"/>
      </w:pPr>
      <w:r>
        <w:rPr>
          <w:rFonts w:ascii="Times New Roman" w:hAnsi="Times New Roman" w:eastAsia="Times New Roman" w:cs="Times New Roman"/>
          <w:b w:val="0"/>
          <w:sz w:val="24"/>
        </w:rPr>
        <w:t>“Single member LLC” checkboxes are added to the “Grantor/Transferor” and to the “Grantee/Transferee” sections.</w:t>
      </w:r>
    </w:p>
    <w:p>
      <w:pPr>
        <w:keepNext w:val="0"/>
        <w:spacing w:before="120" w:after="0" w:line="260" w:lineRule="exact"/>
        <w:ind w:right="0"/>
        <w:jc w:val="both"/>
      </w:pPr>
      <w:r>
        <w:rPr>
          <w:rFonts w:ascii="Times New Roman" w:hAnsi="Times New Roman" w:eastAsia="Times New Roman" w:cs="Times New Roman"/>
          <w:b w:val="0"/>
          <w:sz w:val="24"/>
        </w:rPr>
        <w:t xml:space="preserve">“Conveyance pursuant to divorce or separation” has been added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conveyance.”</w:t>
      </w:r>
    </w:p>
    <w:p>
      <w:pPr>
        <w:keepNext w:val="0"/>
        <w:spacing w:before="120" w:after="0" w:line="260" w:lineRule="exact"/>
        <w:ind w:right="0"/>
        <w:jc w:val="both"/>
      </w:pPr>
      <w:r>
        <w:rPr>
          <w:rFonts w:ascii="Times New Roman" w:hAnsi="Times New Roman" w:eastAsia="Times New Roman" w:cs="Times New Roman"/>
          <w:b w:val="0"/>
          <w:sz w:val="24"/>
        </w:rPr>
        <w:t xml:space="preserve">Page One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for entry of the SWIS (“Statewide Information System”) Code,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identifier assigned by the Office of Real Property Tax Services (ORPTS) for every municipality in the State. The SWIS Code is set forth on real estate tax bills, and can also be ascertained by contacting the local tax assessor, or by examining the ORTPS’s website (http://orpts.tax.ny.gov/cfapps/MuniPro/swis/index.cfm)</w:t>
      </w:r>
    </w:p>
    <w:p>
      <w:pPr>
        <w:keepNext w:val="0"/>
        <w:spacing w:before="120" w:after="0" w:line="260" w:lineRule="exact"/>
        <w:ind w:right="0"/>
        <w:jc w:val="both"/>
      </w:pPr>
      <w:r>
        <w:rPr>
          <w:rFonts w:ascii="Times New Roman" w:hAnsi="Times New Roman" w:eastAsia="Times New Roman" w:cs="Times New Roman"/>
          <w:b w:val="0"/>
          <w:sz w:val="24"/>
        </w:rPr>
        <w:t xml:space="preserve">Schedule D (“Certificate of Exemption from the payment of estimated personal income tax”)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checkbox for transfers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Where exemption is claimed from estimated personal income tax on that ground, the checkbox statement must be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The revised instruction make clear that, “If the conveyance is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or any other action governed by the Real Property Actions and Proceedings Law, the defaulting mortgagor or debtor is the grantor.”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State of New York imposes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real property transfers of.4% of the consideration, less continuing liens. The following form contains the calculation of that tax, as well as the required statement concerning Art. 11 of the Tax Law concerning credit line mortgages.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Easements in gross which were improved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gas pipeline were interests in real property subject to the real estate transfer tax. El Paso Corp. v. New York State Dept. of Taxation &amp; Fin., 36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.D.3d 655, 828 N.Y.S.2d 209 (2d Dep’t 2007).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Tax Law § 1401 (c).</w:t>
      </w:r>
    </w:p>
    <w:p>
      <w:pPr>
        <w:keepNext w:val="0"/>
        <w:spacing w:before="200" w:after="0" w:line="260" w:lineRule="exact"/>
        <w:ind w:left="0" w:right="0" w:firstLine="0"/>
        <w:jc w:val="both"/>
      </w:pPr>
      <w:r>
        <w:rPr>
          <w:rFonts w:ascii="Times New Roman" w:hAnsi="Times New Roman" w:eastAsia="Times New Roman" w:cs="Times New Roman"/>
          <w:b/>
          <w:sz w:val="24"/>
        </w:rPr>
        <w:t>Expanded Definition of Person; Personal Liability of Members or Employees of Partnerships or LLCs:</w:t>
      </w:r>
      <w:r>
        <w:rPr>
          <w:rFonts w:ascii="Times New Roman" w:hAnsi="Times New Roman" w:eastAsia="Times New Roman" w:cs="Times New Roman"/>
          <w:b w:val="0"/>
          <w:sz w:val="24"/>
        </w:rPr>
        <w:t xml:space="preserve"> Effective July 1, 2021, the Tax Law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expanded definition of the term “person” for the purpose of enforcing the RETT. Tax Law 1401(</w:t>
      </w:r>
      <w:r>
        <w:rPr>
          <w:rFonts w:ascii="Times New Roman" w:hAnsi="Times New Roman" w:eastAsia="Times New Roman" w:cs="Times New Roman"/>
          <w:b/>
          <w:sz w:val="24"/>
        </w:rPr>
        <w:t>a</w:t>
      </w:r>
      <w:r>
        <w:rPr>
          <w:rFonts w:ascii="Times New Roman" w:hAnsi="Times New Roman" w:eastAsia="Times New Roman" w:cs="Times New Roman"/>
          <w:b w:val="0"/>
          <w:sz w:val="24"/>
        </w:rPr>
        <w:t>)(2) sets forth the following:</w:t>
      </w:r>
    </w:p>
    <w:p>
      <w:pPr>
        <w:keepNext w:val="0"/>
        <w:spacing w:before="200" w:after="0" w:line="260" w:lineRule="exact"/>
        <w:ind w:left="400" w:right="0" w:firstLine="0"/>
        <w:jc w:val="both"/>
      </w:pPr>
      <w:r>
        <w:rPr>
          <w:rFonts w:ascii="Times New Roman" w:hAnsi="Times New Roman" w:eastAsia="Times New Roman" w:cs="Times New Roman"/>
          <w:b w:val="0"/>
          <w:sz w:val="24"/>
        </w:rPr>
        <w:t xml:space="preserve">(2) “Person” shall include any individual, corporation, partnership or limited liability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employee of any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dissolved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employee of any partnership,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who as such officer, employee, manager or member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for such corporation, partnership, limited liability company or individual proprietorship in complying with any requirement of this article, or has so acted.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purpose of the bill is to extend personal tax liability for payment of the RETT to the enumerated persons who are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in compliance with the RETT. This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expansion of personal liability. The expanded definition takes effect July 1, 2021, and applies to conveyances occurring on or after July 1, 2021, other than conveyances that are made pursuant to binding written contracts entered into on or before April 1, 2021. The fact that the contract is made on or before April 1, 2021 must be confirmed by independent evidence, such as the recording of the contract,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or other facts and circumstances as determined by the Commissioner of Taxation and Finance.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“Duty to act” is not itself defined in the section applicable to the RETT.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serving as officer or employee of the grantor partnership or LLC would likely not be subject to personal liability without proof of additional authority to act for the entity. Members, officers or employees authorized to sign tax returns, write checks, or who have financial control are likely to be cast in personal liability.</w:t>
      </w:r>
    </w:p>
    <w:p>
      <w:pPr>
        <w:keepNext w:val="0"/>
        <w:spacing w:before="200" w:after="0" w:line="260" w:lineRule="exact"/>
        <w:ind w:left="0" w:right="0" w:firstLine="0"/>
        <w:jc w:val="both"/>
      </w:pPr>
      <w:r>
        <w:rPr>
          <w:rFonts w:ascii="Times New Roman" w:hAnsi="Times New Roman" w:eastAsia="Times New Roman" w:cs="Times New Roman"/>
          <w:b/>
          <w:sz w:val="24"/>
        </w:rPr>
        <w:t>Grantor’s Liability for RETT:</w:t>
      </w:r>
      <w:r>
        <w:rPr>
          <w:rFonts w:ascii="Times New Roman" w:hAnsi="Times New Roman" w:eastAsia="Times New Roman" w:cs="Times New Roman"/>
          <w:b w:val="0"/>
          <w:sz w:val="24"/>
        </w:rPr>
        <w:t xml:space="preserve"> Tax Law § 1404(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amended to clarify that the grantor is primarily responsible for payment of the RETT. The amendments are effective July 1, 2021, and applicable to conveyances occurring on or after July 1, 2021, other than conveyances that are made pursuant to binding written contracts entered into on or before April 1, 2021. The section now specifically provides that the tax is not payable, directly or indirectly, by the grantee except as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grantor and grantee or as otherwise provided in this section. Further, in the event the grantor fails to pay the tax, and the tax is paid by the grantee, the grantee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cause of action against the grantor for recovery of payment of the tax, interest and penalties by the grantee.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conveyance of residential real property as defined in Tax Law 1402-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 tax imposed is paid by the grantee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the grantor and the grantee, the amount of the tax is excluded from the calculation of consideration subject to tax. Tax Law § 1404(</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sz w:val="24"/>
        </w:rPr>
        <w:t>Merging the TP-584 and RP-5217 Real Property Tax Forms:</w:t>
      </w:r>
      <w:r>
        <w:rPr>
          <w:rFonts w:ascii="Times New Roman" w:hAnsi="Times New Roman" w:eastAsia="Times New Roman" w:cs="Times New Roman"/>
          <w:b w:val="0"/>
          <w:sz w:val="24"/>
        </w:rPr>
        <w:t xml:space="preserve"> Tax Law § 1423 authorizes the Commissioner of Taxation and Finance to combine the TP-584 and RP-5217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real property transfer form, and to implement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online system for e-filing this consolidated form and paying the associated taxes and fees. This reform is intended to streamline the real property transfer process for practitioners and other affected parties, while preserving the confidentiality of portions of the RETT return.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order to effectuate this e-filing system, Tax Law 663(d)(1) was enacted to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may be recorded if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issued by the Commissioner indicating that the estimated tax has been paid to the Commissioner either electronically or as otherwise prescribed by him or her. Tax Law § 1407(c)(1) provides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recording officer presented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conveyance for recording that is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issued by the Commissioner pursuant to Tax Law § 1423(c) is relieved of the responsibility to collect the RETT, although he or she shall nonetheless be entitled to the portion of such tax that he or she would otherwise have retained.</w:t>
      </w:r>
    </w:p>
    <w:p>
      <w:pPr>
        <w:keepNext w:val="0"/>
        <w:spacing w:before="200" w:after="0" w:line="260" w:lineRule="exact"/>
        <w:ind w:left="0" w:right="0" w:firstLine="0"/>
        <w:jc w:val="both"/>
      </w:pPr>
      <w:r>
        <w:rPr>
          <w:rFonts w:ascii="Times New Roman" w:hAnsi="Times New Roman" w:eastAsia="Times New Roman" w:cs="Times New Roman"/>
          <w:b w:val="0"/>
          <w:sz w:val="24"/>
        </w:rPr>
        <w:t>County Clerks will continue to receive the same fees that they now collect ($9.00 per RP-5217 and $1.00 per TP-584), even when e-filing takes place and the taxes are paid to the Tax Department.</w:t>
      </w:r>
    </w:p>
    <w:p>
      <w:pPr>
        <w:keepNext w:val="0"/>
        <w:spacing w:before="200" w:after="0" w:line="260" w:lineRule="exact"/>
        <w:ind w:left="0" w:right="0" w:firstLine="0"/>
        <w:jc w:val="both"/>
      </w:pPr>
      <w:r>
        <w:rPr>
          <w:rFonts w:ascii="Times New Roman" w:hAnsi="Times New Roman" w:eastAsia="Times New Roman" w:cs="Times New Roman"/>
          <w:b w:val="0"/>
          <w:sz w:val="24"/>
        </w:rPr>
        <w:t>Use of the e-filing system would be optional. In the City of New York and Westchester County, which already employ electronic deed recording systems, the Department’s e-filing option would not be available unless such city or county notifies the commissioner that such jurisdiction will follow the system authorized pursuant to this section to be used therein, in writing. Tax Law § 1423(e).</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New York Real Property Forms Annotated</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