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Company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AGREEMENT</w:t>
      </w:r>
      <w:r>
        <w:rPr>
          <w:rFonts w:ascii="Times New Roman" w:hAnsi="Times New Roman" w:eastAsia="Times New Roman" w:cs="Times New Roman"/>
          <w:sz w:val="24"/>
        </w:rPr>
        <w:br/>
      </w:r>
      <w:r>
        <w:rPr>
          <w:rFonts w:ascii="Times New Roman" w:hAnsi="Times New Roman" w:eastAsia="Times New Roman" w:cs="Times New Roman"/>
          <w:b/>
          <w:sz w:val="24"/>
        </w:rPr>
        <w:t>OF [NAME OF LLC]</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This Company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executed on this [day] day of [month], [year]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the Members identified in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r>
        <w:rPr>
          <w:rFonts w:ascii="Times New Roman" w:hAnsi="Times New Roman" w:eastAsia="Times New Roman" w:cs="Times New Roman"/>
          <w:b w:val="0"/>
          <w:sz w:val="24"/>
        </w:rPr>
        <w:t>”) and [NAME OF LLC]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Members desire to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under the TBOC;</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desire to enter into this Agreement to provide for the governance of the Company and the conduct of its business, and to specify their relative rights and obligations, and to provide for certain other matters, all as permitted by the TBOC;</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promises contained in this Agreement and other good and valuable consideration, the receipt and sufficiency of which are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IRC</w:t>
      </w:r>
      <w:r>
        <w:rPr>
          <w:rFonts w:ascii="Times New Roman" w:hAnsi="Times New Roman" w:eastAsia="Times New Roman" w:cs="Times New Roman"/>
          <w:b w:val="0"/>
          <w:sz w:val="24"/>
        </w:rPr>
        <w:t>” means the Internal Revenue Code of 1986, as amended, and any successor legislation.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Majority-in-Interest of the Members</w:t>
      </w:r>
      <w:r>
        <w:rPr>
          <w:rFonts w:ascii="Times New Roman" w:hAnsi="Times New Roman" w:eastAsia="Times New Roman" w:cs="Times New Roman"/>
          <w:b w:val="0"/>
          <w:sz w:val="24"/>
        </w:rPr>
        <w:t xml:space="preserve">” means the Member or Members holding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50% Percentage Interest in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right to receive distributions and allocations of tax items in accordance with the TBOC and this Agreement.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Percentage Interest</w:t>
      </w:r>
      <w:r>
        <w:rPr>
          <w:rFonts w:ascii="Times New Roman" w:hAnsi="Times New Roman" w:eastAsia="Times New Roman" w:cs="Times New Roman"/>
          <w:b w:val="0"/>
          <w:sz w:val="24"/>
        </w:rPr>
        <w:t xml:space="preserve">” means each Member’s interest in the Company, expressed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including such Members share of profits and losses. The Members’ respective Percentage Interests are set forth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Regulations</w:t>
      </w:r>
      <w:r>
        <w:rPr>
          <w:rFonts w:ascii="Times New Roman" w:hAnsi="Times New Roman" w:eastAsia="Times New Roman" w:cs="Times New Roman"/>
          <w:b w:val="0"/>
          <w:sz w:val="24"/>
        </w:rPr>
        <w:t>” means the federal income tax regulations promulgated by the United States Department of the Treasury and published in the Federal Register for the purpose of interpreting and applying the provisions of the IRC, as such Regulations may be amended from time to time, including corresponding provisions of applicable successor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TBOC</w:t>
      </w:r>
      <w:r>
        <w:rPr>
          <w:rFonts w:ascii="Times New Roman" w:hAnsi="Times New Roman" w:eastAsia="Times New Roman" w:cs="Times New Roman"/>
          <w:b w:val="0"/>
          <w:sz w:val="24"/>
        </w:rPr>
        <w:t>” means the Texas Business Organizations Code, effective January 1, 2006, as amended, and any successor legislation.</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Transferee</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which all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has been transferred, whether or not the person has been admitted to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200" w:after="0" w:line="260" w:lineRule="exact"/>
        <w:ind w:left="720" w:right="0" w:firstLine="0"/>
        <w:jc w:val="both"/>
      </w:pPr>
      <w:r>
        <w:rPr>
          <w:rFonts w:ascii="Times New Roman" w:hAnsi="Times New Roman" w:eastAsia="Times New Roman" w:cs="Times New Roman"/>
          <w:b w:val="0"/>
          <w:sz w:val="24"/>
        </w:rPr>
        <w:t>Other capitalized terms will have the meanings ascribed to them in the body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FORMATION, PRINCIPAL OFFICE, PURPOSE, AND POWERS</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Formation.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Formation was filed in the office of the Texas Secretary of State in accordance with the TBOC.</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of the Company is "[NAME OF LLC]” and all Company business shall be conducted in that name or such other names as the Members may adopt from time to time.</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and Powers.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purpose of the Company is to conduct any lawful businesses which may be performed by limited liability companies under Texas law. The Company has the same powers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to take action necessary or convenient to carry out its business and affairs, including all of the powers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domestic entity as set forth in Title 1, Chapter 2, of the TBOC.</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will have perpetual duration.</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purposes of complying with its recordkeeping requirements, the Company shall keep its books and records at its principal office in the United States, which is located at: [ADDRESS]. The Company shall maintain at its principal office the Company’s records and accounts required by the TBOC, including minutes of the proceedings of the members or and committees of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Office and Resident Agent for Service of Process.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Company’s initial registered office is as set forth in the Certificate of Formation. The Company’s registered office and its agent for service of process may only be changed by filing notice of the change with the Texas Secretary of State.</w:t>
      </w:r>
    </w:p>
    <w:p>
      <w:pPr>
        <w:keepNext w:val="0"/>
        <w:spacing w:before="120" w:after="0" w:line="260" w:lineRule="exact"/>
        <w:ind w:left="108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Provisions.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Manager shall cause one or more bank accounts to be maintained in the name of the Company in such bank or banks as may be determined by the Managers, which accounts shall be used for the payment of expenditures incurred by the Company and in which shall be deposited any and all receipts of the Company. All such receipts shall be and remain the property of the Company, shall be received, held, and disbursed by the Managers for the purposes specified in this Agreement, and shall not be commingled with the funds of any other person.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 the end of each fiscal year, the books of the Company shall be closed, examined and financial statements shall be prepared,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thereon shall be issued by the Company’s accountants. Copies of the financial statements shall be given to all Members. In addition, all Members shall receive not less frequently than at the end of each calendar quarter, copies of such financial statements regarding the previous calendar quarter, as may be prepared in the ordinary course of business, by the chief financial officer or accountants selected by the chief financial officer. The chief financial officer shall deliver to each Member, within ninety (90) days after the end of the Company’s fiscal year 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statement that shall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as of the Company’s fiscal year end, and related statements of income, expenses, and cash flows for the relevant period.</w:t>
      </w:r>
    </w:p>
    <w:p>
      <w:pPr>
        <w:keepNext w:val="0"/>
        <w:spacing w:before="120" w:after="0" w:line="260" w:lineRule="exact"/>
        <w:ind w:left="108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Provisions.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Managers and Members shall perform all acts necessary to ensure that the Company is taxed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Within 90 days after the end of each taxable year of the Company, the chief financial officer shall send to each of the Members all information necessary for the Members to complete their federal, state, and local income tax or information returns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Company’s federal, state, and local income tax or information returns for such year.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Manager(s) shall cause to be prepared and filed all necessary federal and state income tax returns for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hereby designates the following Member and/or Manager to be the “tax matters partner” pursuant to I.R.C. § 6231(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)(7): [Name of Member/Manager]. Such tax matters partner shall take such action as may be necessary to cause each other Member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partner" within the meaning of Section 6223 of the Internal Revenue Code, and shall promptly inform each other Member of all significant matters that may come to its attention in its capacity as "tax matters partner" by giving notice thereof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significant written communications.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AND MANAGEMENT</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and address of each Member is reflected on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expressly set forth in this Agreement or required by law, no Member shall be personally liable for any debt, obligation or liability of the Company, whether that liability or obligation arises in contract, tort,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Capital Calls.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There will be no additional assessments or contributions to capital required of any Member.</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of New Members.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may be admitted to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only with consent of all of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3.04.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Withdrawal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Member may not withdraw or be expelled from the Company at any time without the prior written consent of all Members.</w:t>
      </w:r>
    </w:p>
    <w:p>
      <w:pPr>
        <w:keepNext w:val="0"/>
        <w:spacing w:before="120" w:after="0" w:line="260" w:lineRule="exact"/>
        <w:ind w:left="108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Meetings.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may be called by the Managers or by any Member.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Meetings of the Members may be held in person or by means of conference telephone or similar communications equipment by which all Members participating in the meeting can hear each other. Or, another suitable electronic communications system may be used including video-conferencing technology or the Internet, but only if each Member entitled to participate in the meeting consents to the meeting being held by means of that system and the system provides access to the meeting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or 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by which each person participating in the meeting can communicate concurrently with each other participant. Participation in such meeting shall constitute presence in person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participates in the meeting for the express purpose of objecting to the transaction of any business on the ground that the meeting is not lawfully called or convened.</w:t>
      </w:r>
    </w:p>
    <w:p>
      <w:pPr>
        <w:keepNext w:val="0"/>
        <w:spacing w:before="120" w:after="0" w:line="260" w:lineRule="exact"/>
        <w:ind w:left="108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for situations in which the approval of the Members is required by this Agreement or by non-waivable provisions of the TBOC or other applicable law, the Manager(s) shall have the sole and exclusive control of the management, business and affairs of the Company, and the Manager(s) shall make all decisions and take all actions for and on behalf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the foregoing, the following acts require the affirmative vote or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Majority-in-Interest of the Members.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wind up or terminate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to reconstitute the Company or continue the business of the Company after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sale, exchange, lease, mortgage, assignment, pledge, or other transfer of, or granting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asset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incurring, renewal, refinancing, or payment or other discharge of indebtedness by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the nature of the business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(6)</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admission, removal, or retention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1800" w:right="0" w:firstLine="0"/>
        <w:jc w:val="left"/>
      </w:pPr>
      <w:r>
        <w:rPr>
          <w:rFonts w:ascii="Times New Roman" w:hAnsi="Times New Roman" w:eastAsia="Times New Roman" w:cs="Times New Roman"/>
          <w:b w:val="0"/>
          <w:sz w:val="24"/>
        </w:rPr>
        <w:t>(7)</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other matter involving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potential conflict of interest;</w:t>
      </w:r>
    </w:p>
    <w:p>
      <w:pPr>
        <w:keepNext w:val="0"/>
        <w:spacing w:before="120" w:after="0" w:line="260" w:lineRule="exact"/>
        <w:ind w:left="1800" w:right="0" w:firstLine="0"/>
        <w:jc w:val="left"/>
      </w:pPr>
      <w:r>
        <w:rPr>
          <w:rFonts w:ascii="Times New Roman" w:hAnsi="Times New Roman" w:eastAsia="Times New Roman" w:cs="Times New Roman"/>
          <w:b w:val="0"/>
          <w:sz w:val="24"/>
        </w:rPr>
        <w:t>(8)</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the Company’s Certificate of Formation;</w:t>
      </w:r>
    </w:p>
    <w:p>
      <w:pPr>
        <w:keepNext w:val="0"/>
        <w:spacing w:before="120" w:after="0" w:line="260" w:lineRule="exact"/>
        <w:ind w:left="1800" w:right="0" w:firstLine="0"/>
        <w:jc w:val="left"/>
      </w:pPr>
      <w:r>
        <w:rPr>
          <w:rFonts w:ascii="Times New Roman" w:hAnsi="Times New Roman" w:eastAsia="Times New Roman" w:cs="Times New Roman"/>
          <w:b w:val="0"/>
          <w:sz w:val="24"/>
        </w:rPr>
        <w:t>(9)</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Indemnification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or Member;</w:t>
      </w:r>
    </w:p>
    <w:p>
      <w:pPr>
        <w:keepNext w:val="0"/>
        <w:spacing w:before="120" w:after="0" w:line="260" w:lineRule="exact"/>
        <w:ind w:left="1800" w:right="0" w:firstLine="0"/>
        <w:jc w:val="left"/>
      </w:pPr>
      <w:r>
        <w:rPr>
          <w:rFonts w:ascii="Times New Roman" w:hAnsi="Times New Roman" w:eastAsia="Times New Roman" w:cs="Times New Roman"/>
          <w:b w:val="0"/>
          <w:sz w:val="24"/>
        </w:rPr>
        <w:t>(10)</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merger or conversion involving the Company; or</w:t>
      </w:r>
    </w:p>
    <w:p>
      <w:pPr>
        <w:keepNext w:val="0"/>
        <w:spacing w:before="120" w:after="0" w:line="260" w:lineRule="exact"/>
        <w:ind w:left="1800" w:right="0" w:firstLine="0"/>
        <w:jc w:val="left"/>
      </w:pPr>
      <w:r>
        <w:rPr>
          <w:rFonts w:ascii="Times New Roman" w:hAnsi="Times New Roman" w:eastAsia="Times New Roman" w:cs="Times New Roman"/>
          <w:b w:val="0"/>
          <w:sz w:val="24"/>
        </w:rPr>
        <w:t>(11)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sale of all or substantially of the Company’s assets or other act that would make it impossible  for the Company to conduct business.</w:t>
      </w:r>
    </w:p>
    <w:p>
      <w:pPr>
        <w:keepNext w:val="0"/>
        <w:spacing w:before="120" w:after="0" w:line="260" w:lineRule="exact"/>
        <w:ind w:left="1080" w:right="0" w:firstLine="0"/>
        <w:jc w:val="left"/>
      </w:pP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[Number] Manager(s), who shall be [Names of Managers]. The number of Managers of the Company may be changed from time to time by the unanimous vote or written consent of the Members provided that in no instance shall there be fewer than one Manager. Each Manager shall hold office until his or her death, resignation, or removal in accordance with the terms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need not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resident of the State of Texas,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citizen of the United States.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Manager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vote. Affirmative vote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Manager(s) will be considered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consent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Manager may resign at any time by giving written notice to the Members and remaining Managers. The resignation of any Manager shall take effect upon receipt of that notice or at such later time as shall be specified in the written notice. Unless otherwise specified in the written notice, the acceptance of the resignation shall not be necessary to make it effective. The resignation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who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not affect the Manager’s rights and obligations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shall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withdrawal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The dissociation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that is also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removes that person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Manager may be removed at any time, with or without cause, by the affirmative vote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Majority-in-Interest of the Members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called for that purpose.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of the death, resignation, or removal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replacement Manager shall be appointed by Members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Majority-in-Interest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remuneration shall be paid to any Manager, except compensation paid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management agreement with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Manager Meetings.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Managers may be called by any Manager.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Meetings of the Managers may be held in person or by means of conference telephone or similar communications equipment by which all Managers participating in the meeting can hear each other. Or, another suitable electronic communications system may be used including video-conferencing technology or the Internet, but only if each Manager entitled to participate in the meeting consents to the meeting being held by means of that system and the system provides access to the meeting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or 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by which each person participating in the meeting can communicate concurrently with each other participant. Participation in such meeting shall constitute presence in person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Manager participates in the meeting for the express purpose of objecting to the transaction of any business on the ground that the meeting is not lawfully called or convened.</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ACCOUNTS</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Account.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establish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w:t>
      </w:r>
      <w:r>
        <w:rPr>
          <w:rFonts w:ascii="Times New Roman" w:hAnsi="Times New Roman" w:eastAsia="Times New Roman" w:cs="Times New Roman"/>
          <w:b/>
          <w:sz w:val="24"/>
        </w:rPr>
        <w:t>Capital Account</w:t>
      </w:r>
      <w:r>
        <w:rPr>
          <w:rFonts w:ascii="Times New Roman" w:hAnsi="Times New Roman" w:eastAsia="Times New Roman" w:cs="Times New Roman"/>
          <w:b w:val="0"/>
          <w:sz w:val="24"/>
        </w:rPr>
        <w:t xml:space="preserve">”) for each Member in accordance with Treas. Reg. § 1.704-1(b)(2)(iv). No Member shall be entitled to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refund or return of his or her Initial Capital Contribution, or to withdraw any part of his or her Capital Account. No interest shall accrue or be paid on Initial Capital Contributions or on Capital Account balances.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amount of each Member’s “</w:t>
      </w:r>
      <w:r>
        <w:rPr>
          <w:rFonts w:ascii="Times New Roman" w:hAnsi="Times New Roman" w:eastAsia="Times New Roman" w:cs="Times New Roman"/>
          <w:b/>
          <w:sz w:val="24"/>
        </w:rPr>
        <w:t>Initial Capital Commitment</w:t>
      </w:r>
      <w:r>
        <w:rPr>
          <w:rFonts w:ascii="Times New Roman" w:hAnsi="Times New Roman" w:eastAsia="Times New Roman" w:cs="Times New Roman"/>
          <w:b w:val="0"/>
          <w:sz w:val="24"/>
        </w:rPr>
        <w:t>” (</w:t>
      </w:r>
      <w:r>
        <w:rPr>
          <w:rFonts w:ascii="Times New Roman" w:hAnsi="Times New Roman" w:eastAsia="Times New Roman" w:cs="Times New Roman"/>
          <w:b w:val="0"/>
          <w:sz w:val="24"/>
        </w:rPr>
        <w:t>i.e.</w:t>
      </w:r>
      <w:r>
        <w:rPr>
          <w:rFonts w:ascii="Times New Roman" w:hAnsi="Times New Roman" w:eastAsia="Times New Roman" w:cs="Times New Roman"/>
          <w:b w:val="0"/>
          <w:sz w:val="24"/>
        </w:rPr>
        <w:t>, the amount the Member agrees to contribute for his or her Membership Interest) and “</w:t>
      </w:r>
      <w:r>
        <w:rPr>
          <w:rFonts w:ascii="Times New Roman" w:hAnsi="Times New Roman" w:eastAsia="Times New Roman" w:cs="Times New Roman"/>
          <w:b/>
          <w:sz w:val="24"/>
        </w:rPr>
        <w:t>Initial Capital Contribution</w:t>
      </w:r>
      <w:r>
        <w:rPr>
          <w:rFonts w:ascii="Times New Roman" w:hAnsi="Times New Roman" w:eastAsia="Times New Roman" w:cs="Times New Roman"/>
          <w:b w:val="0"/>
          <w:sz w:val="24"/>
        </w:rPr>
        <w:t>” (</w:t>
      </w:r>
      <w:r>
        <w:rPr>
          <w:rFonts w:ascii="Times New Roman" w:hAnsi="Times New Roman" w:eastAsia="Times New Roman" w:cs="Times New Roman"/>
          <w:b w:val="0"/>
          <w:sz w:val="24"/>
        </w:rPr>
        <w:t>i.e.</w:t>
      </w:r>
      <w:r>
        <w:rPr>
          <w:rFonts w:ascii="Times New Roman" w:hAnsi="Times New Roman" w:eastAsia="Times New Roman" w:cs="Times New Roman"/>
          <w:b w:val="0"/>
          <w:sz w:val="24"/>
        </w:rPr>
        <w:t xml:space="preserve">, the amount the Member has contributed for his or her Membership Interest as of the Effective Date) is set forth opposite his or her name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If any Member fails to contribute the full amount of his or her “Initial Capital Commitment,” the deficiency will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Company. To the extent that any Member has not contributed to the Company the full amount of his or her Initial Capital Commitment, the Company shall have the right to take legal action against the defaulting Member to recover on such debt.</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w:t>
        <w:tab/>
        <w:t>Each Member’s Capital Account shall be increased by (1) the amount of money contributed by him or her to the Company, (2) the fair market value of property contributed by him or her to the Company (net of liabilities that the Company is considered to assume or take subject to), and (3) allocations to him or her of Company income and gain (or items thereof), including income and gain exempt from tax and income and gain described in Treas. Reg. § 1.704-1(b)(2)(iv)(g), but excluding income and gain described in Treas. Reg. § 1.704-1(b)(4)(i); and shall be decreased by (4) the amount of money distributed to him or her by the Company, (5) the fair market value of property distributed to him or her by the Company (net of liabilities that such Company is considered to assume or take subject to), (6) allocations to him or her of expenditures of the Company described in § 705(</w:t>
      </w:r>
      <w:r>
        <w:rPr>
          <w:rFonts w:ascii="Times New Roman" w:hAnsi="Times New Roman" w:eastAsia="Times New Roman" w:cs="Times New Roman"/>
          <w:b/>
          <w:sz w:val="24"/>
        </w:rPr>
        <w:t>a</w:t>
      </w:r>
      <w:r>
        <w:rPr>
          <w:rFonts w:ascii="Times New Roman" w:hAnsi="Times New Roman" w:eastAsia="Times New Roman" w:cs="Times New Roman"/>
          <w:b w:val="0"/>
          <w:sz w:val="24"/>
        </w:rPr>
        <w:t>)(2)(B), and (7) allocations of Company loss and deduction (or item thereof), including loss and deduction described in Treas. Reg. § 1.704-1(b)(2)(iv)(g), but excluding items described in (6) above and loss or deduction described in Treas. Reg. § 1.704-1(b)(4)(i) or (b)(4)(iii). The Members’ Capital Accounts shall be further adjusted in accordance with the additional rules set forth in Treas. Reg. § 1.704-1(b)(2)(iv).</w:t>
      </w:r>
    </w:p>
    <w:p>
      <w:pPr>
        <w:keepNext w:val="0"/>
        <w:spacing w:before="120" w:after="0" w:line="260" w:lineRule="exact"/>
        <w:ind w:left="108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Distributive Share.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otherwise provided in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or as may be required by I.R.C. § 704(c) and Treas. Reg. § 1.704-1(b)(2)(iv)(f)(4), and except as otherwise provided by law, all income, gain, deductions, and losses shall be allocated to the Members in accordance with their Percentage Interests as reflected on 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Notwithstanding the foregoing, losses shall not be allocated to any Member to the extent that such allocation would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if and to the extent that the allocation of such losses to one or more of the other Members would not result in such other Members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In such event, losses shall first be allocated to Members who do not have and will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allocation of such losses to the maximum extent provided under Treas. Reg. § 1.704-1(b)(2)(ii)(d).</w:t>
      </w:r>
    </w:p>
    <w:p>
      <w:pPr>
        <w:keepNext w:val="0"/>
        <w:spacing w:before="200" w:after="0" w:line="260" w:lineRule="exact"/>
        <w:ind w:left="1440" w:right="0" w:firstLine="0"/>
        <w:jc w:val="both"/>
      </w:pPr>
      <w:r>
        <w:rPr>
          <w:rFonts w:ascii="Times New Roman" w:hAnsi="Times New Roman" w:eastAsia="Times New Roman" w:cs="Times New Roman"/>
          <w:b w:val="0"/>
          <w:sz w:val="24"/>
        </w:rPr>
        <w:t>As used in this Agreement, “</w:t>
      </w:r>
      <w:r>
        <w:rPr>
          <w:rFonts w:ascii="Times New Roman" w:hAnsi="Times New Roman" w:eastAsia="Times New Roman" w:cs="Times New Roman"/>
          <w:b/>
          <w:sz w:val="24"/>
        </w:rPr>
        <w:t>income, gain, deductions, and losses</w:t>
      </w:r>
      <w:r>
        <w:rPr>
          <w:rFonts w:ascii="Times New Roman" w:hAnsi="Times New Roman" w:eastAsia="Times New Roman" w:cs="Times New Roman"/>
          <w:b w:val="0"/>
          <w:sz w:val="24"/>
        </w:rPr>
        <w:t xml:space="preserve">” means, for each fiscal year or other period specified in this Agreement,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Company’s taxable income or loss for such year or period, determined in accordance with I.R.C. § 703(</w:t>
      </w:r>
      <w:r>
        <w:rPr>
          <w:rFonts w:ascii="Times New Roman" w:hAnsi="Times New Roman" w:eastAsia="Times New Roman" w:cs="Times New Roman"/>
          <w:b/>
          <w:sz w:val="24"/>
        </w:rPr>
        <w:t>a</w:t>
      </w:r>
      <w:r>
        <w:rPr>
          <w:rFonts w:ascii="Times New Roman" w:hAnsi="Times New Roman" w:eastAsia="Times New Roman" w:cs="Times New Roman"/>
          <w:b w:val="0"/>
          <w:sz w:val="24"/>
        </w:rPr>
        <w:t>), including all items required to be stated separately pursuant to I.R.C. § 703(</w:t>
      </w:r>
      <w:r>
        <w:rPr>
          <w:rFonts w:ascii="Times New Roman" w:hAnsi="Times New Roman" w:eastAsia="Times New Roman" w:cs="Times New Roman"/>
          <w:b/>
          <w:sz w:val="24"/>
        </w:rPr>
        <w:t>a</w:t>
      </w:r>
      <w:r>
        <w:rPr>
          <w:rFonts w:ascii="Times New Roman" w:hAnsi="Times New Roman" w:eastAsia="Times New Roman" w:cs="Times New Roman"/>
          <w:b w:val="0"/>
          <w:sz w:val="24"/>
        </w:rPr>
        <w:t>)(1), with the following adjustments: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income of the Company that is exempt from federal income tax and not otherwise taken into account in computing income, gain, deductions, and losses shall be added to such taxable income or loss;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expenditures of the Company described in I.R.C. § 705(</w:t>
      </w:r>
      <w:r>
        <w:rPr>
          <w:rFonts w:ascii="Times New Roman" w:hAnsi="Times New Roman" w:eastAsia="Times New Roman" w:cs="Times New Roman"/>
          <w:b/>
          <w:sz w:val="24"/>
        </w:rPr>
        <w:t>a</w:t>
      </w:r>
      <w:r>
        <w:rPr>
          <w:rFonts w:ascii="Times New Roman" w:hAnsi="Times New Roman" w:eastAsia="Times New Roman" w:cs="Times New Roman"/>
          <w:b w:val="0"/>
          <w:sz w:val="24"/>
        </w:rPr>
        <w:t>)(2)(B) or treated as I.R.C. § 705(</w:t>
      </w:r>
      <w:r>
        <w:rPr>
          <w:rFonts w:ascii="Times New Roman" w:hAnsi="Times New Roman" w:eastAsia="Times New Roman" w:cs="Times New Roman"/>
          <w:b/>
          <w:sz w:val="24"/>
        </w:rPr>
        <w:t>a</w:t>
      </w:r>
      <w:r>
        <w:rPr>
          <w:rFonts w:ascii="Times New Roman" w:hAnsi="Times New Roman" w:eastAsia="Times New Roman" w:cs="Times New Roman"/>
          <w:b w:val="0"/>
          <w:sz w:val="24"/>
        </w:rPr>
        <w:t>)(2)(B) expenditures pursuant to Treas. Reg. § 1.704-1(b)(2)(iv)(i) and not otherwise taken into account in computing income, gain, deductions, and losses shall be subtracted from such taxable income or shall increase such loss;</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Gain or loss resulting from the disposition of any Company property with respect to which gain or loss is recognized for federal income tax purposes shall be computed by reference to the fair market value of the property disposed of, notwithstanding that the adjusted tax basis of such property differs from its fair market value. In the event that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asset is adjusted as permitted by any provision of the Code, the amount of such adjustment shall be taken into account as gain or loss from the disposition of such asset for purposes of computing income, gain, deductions, and losses.</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the foregoing provisions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any items of income, gain, loss, or deduction that are specially allocated under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not be taken into account in computing allocations under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Member nonrecourse deductions for any fiscal year of the Company shall be allocated to the Member or Members who bear (or who are deemed to bear) the economic risk of loss with respect to the Member nonrecourse debt to which such Member nonrecourse deductions are attributable in accordance with Treas. Reg. § 1.704-2(i)(2). Nonrecourse deductions (i.e., deductions attributable to liabilities for which no Member or related person bears the economic risk of loss with respect to the liability) shall be allocated among the Members as Losses are allocated, provided such allocation is in accordance with Treas. Reg. § 1.704-2(e).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of the foregoing provisions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to the contrary:</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during any tax year of the Company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Company “minimum gain” as defined in Treas. Reg. § 1.704-2(b)(2), during any Company taxable period, each Member shall be allocated items of Company income and gain for such period (and, if necessary, subsequent periods) in the manner and amounts provided in Treas. Reg. §§ 1.704-2(f)(6), 1.704-2(g)(2) and 1.704-2(j)(2)(i), or any successor provision. For purposes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each Member’s Capital Account balance shall be determined, and the allocation of income or gain required hereunder shall be effected, prior to the application of any other allocations pursuant to this Article</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 respect to such taxable period.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is intended to comply with the minimum gain chargeback requirement in Treas. Reg. § 1.704-2(f) and shall be interpreted consistently therewith.</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during any tax year of the Company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Member nonrecourse debt minimum gain during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except as otherwise provided in Treas. Reg. § 1.704-2(i)(4), any Member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Member nonrecourse debt minimum gain as of the beginning of such fiscal year shall be allocated items of Company income and gain for such period (and, if necessary, subsequent periods) in the manner and amounts provided in Treas. Reg. § 1.704-2(i)(4), or any successor provision. For purposes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each Member’s Capital Account balance shall be determined, and the allocation of income or gain required hereunder shall be effected, prior to the application of any other allocations pursuant to this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 respect to such taxable period.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is intended to comply with the partner nonrecourse debt minimum gain chargeback requirement in Treas. Reg. § 1.704-2)(i)(4) and shall be interpreted consistently therewith.</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 other provision of this Agreement, any Member who unexpectedly receives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allocation, or distribution that causes, or that increases,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such Member’s Capital Account, shall be allocated items of income and gain (consisting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portion of each item of Company income, including gross income, and gain for such year)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and manner sufficient to eliminate such deficit balance as quickly as possible. Such allocation shall be made only if and to the extent that such Member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Capital Account balance after all other allocations provided for in this Article have been tentatively made as if this provision were not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Curative Allocations.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allocations set forth in Sections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are intended to comply with certain requirements of the Regulations (the “</w:t>
      </w:r>
      <w:r>
        <w:rPr>
          <w:rFonts w:ascii="Times New Roman" w:hAnsi="Times New Roman" w:eastAsia="Times New Roman" w:cs="Times New Roman"/>
          <w:b/>
          <w:sz w:val="24"/>
        </w:rPr>
        <w:t>Regulatory Allocations</w:t>
      </w:r>
      <w:r>
        <w:rPr>
          <w:rFonts w:ascii="Times New Roman" w:hAnsi="Times New Roman" w:eastAsia="Times New Roman" w:cs="Times New Roman"/>
          <w:b w:val="0"/>
          <w:sz w:val="24"/>
        </w:rPr>
        <w:t xml:space="preserve">”). It is the intent of the Members that, to the extent possible, all Regulatory Allocations shall be offset either with other Regulatory Allocations or with special allocations of other items of Company income, gain, loss, or deduction pursuant to this 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Therefore, notwithstanding any other provision of this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(other than the Regulatory Allocations), the Manager(s) shall make such offsetting special allocations of Company income, gain, loss, or deduction in whatever manner he or she determines appropriate so that, after such offsetting allocations are made, each Member’s Capital Account balance is, to the extent possible, and to the extent permitted by the Regulations, equal to the Capital Account balance such Member would have had if the Regulatory Allocations were not part of this Agreement and all Company items were allocated pursuant to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In exercising his or her discretion under this 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the Managers shall take into account any future Regulatory Allocations that are likely to offset Regulatory Allocations made under Sections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Deficit Restoration Obligation; Qualified Income Offset.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Member shall have any obligation to restore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his or her Capital Account following the liquidation of his or her Membership Interest, as determined after taking into account all Capital Account adjustments for the Company’s taxable year during which such liquidation occurs.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Notwithstanding any other provision of this Agreement, any Member who unexpectedly receives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allocation, or distribution that causes, or that increases,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such Member’s Capital Account, shall be allocated items of income and gain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and manner sufficient to eliminate such deficit balance as quickly as possible. Such allocation shall be made only if and to the extent that such Member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Capital Account balance after all other allocations provided for in this Article have been tentatively made as if this provision were not in this Agreement. This provision is intended to meet the alternative test for economic effect pursuant to § 1.704-1(b) of the Regulations.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Mandatory Tax Distributions.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order to enable the Members to pay their allocable portion of federal income taxes, the Company shall distribute annually to each Member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[State amount or percentage, e.g, 33%] of the Company taxable income allocated to him or her pursuant to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Such distribution shall be made on or before March 31st of each calendar year. The Members shall be entitled to receive only cash upon such distributions, and such distributions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for all purposes under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Periodic Distributions.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time to time, the Members will, with the advice of the Company’s financial advisors, agree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mandatory cash reserve (or formula for determining the mandatory cash reserve) (“</w:t>
      </w:r>
      <w:r>
        <w:rPr>
          <w:rFonts w:ascii="Times New Roman" w:hAnsi="Times New Roman" w:eastAsia="Times New Roman" w:cs="Times New Roman"/>
          <w:b/>
          <w:sz w:val="24"/>
        </w:rPr>
        <w:t>Reserve</w:t>
      </w:r>
      <w:r>
        <w:rPr>
          <w:rFonts w:ascii="Times New Roman" w:hAnsi="Times New Roman" w:eastAsia="Times New Roman" w:cs="Times New Roman"/>
          <w:b w:val="0"/>
          <w:sz w:val="24"/>
        </w:rPr>
        <w:t>”). Any cash resulting from normal business operations (as distinguished from the liquidation of Company assets) in excess of the Reserve will be deemed cash available for distribution to the Members (“</w:t>
      </w:r>
      <w:r>
        <w:rPr>
          <w:rFonts w:ascii="Times New Roman" w:hAnsi="Times New Roman" w:eastAsia="Times New Roman" w:cs="Times New Roman"/>
          <w:b/>
          <w:sz w:val="24"/>
        </w:rPr>
        <w:t>Available Cash</w:t>
      </w:r>
      <w:r>
        <w:rPr>
          <w:rFonts w:ascii="Times New Roman" w:hAnsi="Times New Roman" w:eastAsia="Times New Roman" w:cs="Times New Roman"/>
          <w:b w:val="0"/>
          <w:sz w:val="24"/>
        </w:rPr>
        <w:t xml:space="preserve">”). In addition to the mandatory tax distribution described above, Available Cash shall be distributed periodically to the Members as described in 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 below (“</w:t>
      </w:r>
      <w:r>
        <w:rPr>
          <w:rFonts w:ascii="Times New Roman" w:hAnsi="Times New Roman" w:eastAsia="Times New Roman" w:cs="Times New Roman"/>
          <w:b/>
          <w:sz w:val="24"/>
        </w:rPr>
        <w:t>Distributed Cash</w:t>
      </w:r>
      <w:r>
        <w:rPr>
          <w:rFonts w:ascii="Times New Roman" w:hAnsi="Times New Roman" w:eastAsia="Times New Roman" w:cs="Times New Roman"/>
          <w:b w:val="0"/>
          <w:sz w:val="24"/>
        </w:rPr>
        <w:t>”). The Members acknowledge that no assurances can be given with respect to when or whether Available Cash will be available for distribution to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Distributive Share.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Non-liquidating distributions shall be made in accordance with the Members’ Percentage Interests, as reflected on Schedule</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Liquidating distributions shall be made in accordance with the positive Capital Account balances of the Members, after taking into account all Capital Account adjustments for the Company taxable year during which such liquidation occurs (other than those made pursuant to this requirement) by the end of such taxable year (or, if later, within ninety (90) days after the date of such liquidation).</w:t>
      </w:r>
    </w:p>
    <w:p>
      <w:pPr>
        <w:keepNext w:val="0"/>
        <w:spacing w:before="120" w:after="0" w:line="260" w:lineRule="exact"/>
        <w:ind w:left="108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Offset.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Company is to make any distributions pursuant to this 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the Company may deduct from the distribution any amounts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owes the Company, and may apply such amount toward satisfaction of such debt.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MEMBERSHIP INTERESTS</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Membership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Member shall transfer, sell, encumber, assign, or otherwise dispose of any Membership Interests without the written consent of all other Members, which consent shall not be unreasonably withheld, conditioned, or delayed.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avoidance of doubt,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means transfer of the Member’s rights to receive tax allocations and distributions.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shall not have the right to participate in the management and affairs of the Company,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to exercise any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unless and until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in accordance with the provisions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transfer or other disposition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shall be permitted until the transferee has agreed in writing to assume all of the obligations of the transferor, to the extent of the interest transferred, and the Manager(s) have concluded (which conclusion may be based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of counsel satisfactory to it) that such transfer or disposition would not violate applicable securities’ laws.</w:t>
      </w:r>
    </w:p>
    <w:p>
      <w:pPr>
        <w:keepNext w:val="0"/>
        <w:spacing w:before="120" w:after="0" w:line="260" w:lineRule="exact"/>
        <w:ind w:left="108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Member who wishes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Prohibited Transfer, as defined below,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each Member of the proposed transfer. The notice shall include the name, address, and business or occupation of the proposed buyer, and such other information about the proposed buyer as the Company and/or the Members may reasonably request,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Membership Interest to the Company and to the other Members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30 days from delivery of such notice in which to elect to buy all or any of the Membership Interests for the Proposed Price and on the Proposed Payment Terms. If the Company elects not to buy all of the Membership Interest within the 30-day option period, the other Members shall have 30 days from the expiration of the Company’s option period in which to elect to buy all, but not less than all, of the Membership Interests that the Company elected not to buy. The other Members may elect to buy the Membership Interests in proportion to their Percentage Interests (excluding the offered Membership Interest)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60 days after the expiration of the option periods, the provisions of this Agreement shall again apply to such Membership Interest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Company has been given notice that legal title to the Membership Interest has been transferred, subject only to the transfer being recorded on the Company’s books.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transfers are deemed “Permitted Transfers” and, as such, shall not require further consent of the Members and shall not be subject to the purchase options described in this paragraph:</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to any Member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spouse, lineal descendant, brother, or sister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trust for any such person;</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in which the Member is the sole beneficiary.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transfers are deemed “Prohibited Transfers” and, as such, shall not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Membership Interests to the Company or to the other Members as provided in this Section and will not be permitted without unanimous consent of all Members.</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Pledge of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or any creditor for security purposes,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engaged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competitive with Company’s business,</w:t>
      </w:r>
    </w:p>
    <w:p>
      <w:pPr>
        <w:keepNext w:val="0"/>
        <w:spacing w:before="120" w:after="0" w:line="260" w:lineRule="exact"/>
        <w:ind w:left="108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Member who has information that would reasonably lead the Member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the other Members. The notice shall include the name, address, and business or occupation of the proposed acquirer, the nature of the acquisition and the Membership Interests to be acquired, and include such other information about the proposed acquirer and the proposed acquisition as the Company and/or Members may reasonably request.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Company and to the other Members to sell the Membership Interest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for determining option price, e.g., the lesser of the balance of the Member’s Capital Account or fair value].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will have 30 days from delivery of such notice in which to elect to buy all or any part of the Membership Interests subject to the involuntary transfer for the purchase price reflected in subsection </w:t>
      </w:r>
      <w:r>
        <w:rPr>
          <w:rFonts w:ascii="Times New Roman" w:hAnsi="Times New Roman" w:eastAsia="Times New Roman" w:cs="Times New Roman"/>
          <w:b w:val="0"/>
          <w:sz w:val="24"/>
        </w:rPr>
        <w:t>(b)</w:t>
      </w:r>
      <w:r>
        <w:rPr>
          <w:rFonts w:ascii="Times New Roman" w:hAnsi="Times New Roman" w:eastAsia="Times New Roman" w:cs="Times New Roman"/>
          <w:b w:val="0"/>
          <w:sz w:val="24"/>
        </w:rPr>
        <w:t>. If the Company elects not to buy all of the Membership Interests within the 30-day option period, the other Members will have 30 days from the expiration of the Company’s option period in which to elect to buy all, but not less than all, of the Membership Interest that the Company elected not to buy. The other Members may elect to buy the Membership Interest in proportion to their Percentage Interests (excluding the offered Membership Interest)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or former spouse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or decree for division of community property upon marital dissolution or legal separation;(d) Closing on the purchase shall occur no later than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 within the option periods, the involuntary lifetime transfer may be completed.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not consummated within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Company has been given notice that legal title to the Membership Interest has been transferred, subject only to the transfer being recorded on the books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provision is intended to supersede or affect Texas Business Organizations Code § 101.112 (which provides, in part,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charging order is the exclusive remedy by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creditor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 any other owner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may satisfy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out of the judgment debtor’s membership interest) or similar legislation that limits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creditor’s rights or remedies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limited liability company.</w:t>
      </w:r>
    </w:p>
    <w:p>
      <w:pPr>
        <w:keepNext w:val="0"/>
        <w:spacing w:before="120" w:after="0" w:line="260" w:lineRule="exact"/>
        <w:ind w:left="108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transfer of Membership Interests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as provided elsewhere in this Agreement, the death of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Member to sell all of his or her Membership Interest to the Company and to the other Members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shall be calculated as [State option price or formula or valuation method for determining option price, e.g., fair value of Membership as the time of the Member’s death, multiple of EBITDA, etc.].</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the Member’s death. The Company may exercise its purchase right in whole or in part.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does not accept the offer with respect to all of the subject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interests, beginning upon expiration of the Member’s option period. The Members shall exercise their purchase right in proportionate to their ownership interest in the Company or in such other proportion as they may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taking into account available life insurance proceeds, e.g., in good and immediate funds at closing or, at the buyer’s election, the purchase price may be paid as follows: (i)(</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the extent that the buyer is the beneficiary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payable on the life of the deceased Member, the proceeds of the life insurance policy shall be paid at closing, or (B) to the extent that the buyer is not the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life insurance policy payable on the life of the deceased Member, at least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deceased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and/or the Members fail or decline to purchase all of the deceased Member’s Shares during the option periods stated herein, then this purchase option shall be deemed to have expired, and the subject interests may be transferred in accordance with applicable laws of descent and distribution.</w:t>
      </w:r>
    </w:p>
    <w:p>
      <w:pPr>
        <w:keepNext w:val="0"/>
        <w:spacing w:before="120" w:after="0" w:line="260" w:lineRule="exact"/>
        <w:ind w:left="108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Services.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Company’s best interests to limit Company ownership to natural persons who provide valuable services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Services-Member</w:t>
      </w:r>
      <w:r>
        <w:rPr>
          <w:rFonts w:ascii="Times New Roman" w:hAnsi="Times New Roman" w:eastAsia="Times New Roman" w:cs="Times New Roman"/>
          <w:b w:val="0"/>
          <w:sz w:val="24"/>
        </w:rPr>
        <w:t xml:space="preserve">”). Therefore, it is agreed that termination of any Services-Member’s services for any reason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Services-Member to sell all of his or her Membership Interest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services are terminated on account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retirement, then the terms of this Agreement relating to the death or retirement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apply to determine the purchase price.  If services are terminated for any other reason, the purchase price shall be calculated as [State Purchase Price, e.g., the value of member equity, determined in accordance with generally accepted accounting principles, multiplied by the departing Member’s percentage of ownership, or consider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valuation in the event of termination on account of disability and/or lower valuation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cause” termination.]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termination of the Member’s services. The Company may exercise its purchase right in whole or in part.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departing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Company to engage any Member to perform services.</w:t>
      </w:r>
    </w:p>
    <w:p>
      <w:pPr>
        <w:keepNext w:val="0"/>
        <w:spacing w:before="120" w:after="0" w:line="260" w:lineRule="exact"/>
        <w:ind w:left="1080" w:right="0" w:firstLine="0"/>
        <w:jc w:val="left"/>
      </w:pP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Company’s best interests to restrict Company ownership to natural persons who have not yet attained the age of 65. Therefore, it is agreed that attainment of the age of 65 by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Member to sell all of his or her Membership Interest to the Company and to the other Members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shall be calculated as [State Purchase Price, e.g., multiple of EBITDA multiplied by the percentage of ownership in the Company held by the retiring Member at the time the Member turned 65.]</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the Member achieves the age of 65. The Company may exercise its purchase right in whole or in part.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and/or the Members fail or decline to purchase all of the deceased Member’s Shares during the option periods stated herein, then this purchase option shall be deemed to have expired, and the subject interests may be transferred in accordance with applicable laws of descent and distribution.</w:t>
      </w:r>
    </w:p>
    <w:p>
      <w:pPr>
        <w:keepNext w:val="0"/>
        <w:spacing w:before="120" w:after="0" w:line="260" w:lineRule="exact"/>
        <w:ind w:left="1080" w:right="0" w:firstLine="0"/>
        <w:jc w:val="left"/>
      </w:pP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Services.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Company’s best interests to limit Company ownership to natural persons who provide valuable services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Services-Member</w:t>
      </w:r>
      <w:r>
        <w:rPr>
          <w:rFonts w:ascii="Times New Roman" w:hAnsi="Times New Roman" w:eastAsia="Times New Roman" w:cs="Times New Roman"/>
          <w:b w:val="0"/>
          <w:sz w:val="24"/>
        </w:rPr>
        <w:t xml:space="preserve">”). Therefore, it is agreed that termination of any Services-Member’s services for any reason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Services-Member to sell all of his or her Membership Interest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services are terminated on account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retirement, then the terms of this Agreement relating to the death or retirement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apply to determine the purchase price.  If services are terminated for any other reason, the purchase price shall be calculated as [State Purchase Price, e.g., the value of member equity, determined in accordance with generally accepted accounting principles, multiplied by the departing Member’s percentage of ownership, or consider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valuation in the event of termination on account of disability and/or lower valuation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cause” termination.]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termination of the Member’s services. The Company may exercise its purchase right in whole or in part.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departing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Nothing in this Agreement imposes any obligation on the Company to engage any Member to perform services.</w:t>
      </w:r>
    </w:p>
    <w:p>
      <w:pPr>
        <w:keepNext w:val="0"/>
        <w:spacing w:before="120" w:after="0" w:line="260" w:lineRule="exact"/>
        <w:ind w:left="1080" w:right="0" w:firstLine="0"/>
        <w:jc w:val="left"/>
      </w:pP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Company’s best interests to restrict Company ownership to natural persons who have not yet attained the age of 65. Therefore, it is agreed that attainment of the age of 65 by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Member to sell all of his or her Membership Interest to the Company and to the other Members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shall be calculated as [State Purchase Price, e.g., multiple of EBITDA multiplied by the percentage of ownership in the Company held by the retiring Member at the time the Member turned 65.]</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the Member achieves the age of 65. The Company may exercise its purchase right in whole or in part.</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marriage terminates by divorce and the divorce decree orders the division, transfer or assignment of any Membership Interest to the Member’s former spouse, such Member shall have the right and option to purchase the Membership Interest from his or her former spouse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shall be [State Purchase Price, e.g., the value of member equity, determined in accordance with generally accepted accounting principles, multiplied by the percentage of ownership subject to the transfer.]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divorcing Member shall have 60 days from date of the divorce decree or property settlement order, as applicable, in which to elect to buy all or any of the Membership Interests.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Member fail to exercise such option within such 60-day period, then the Company shall have 30 days from the expiration of the Member’s option period in which to elect to buy all or any of the Membership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elects not to buy all of the Membership Interest within the option period, the other Members shall have 30 days from the expiration of the Company’s option period in which to elect to buy all, but not less than all, of the Membership Interest that the Company did not elect to buy. The other Members may elect to buy the Membership Interest in proportion to their positive Capital Account balances (excluding the offered Membership Interest)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Majority-in-Interest of the Members (for purposes of this Section, the “Controlling Member”)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Company which the Controlling Member desire to accept, but such offer is contingent on the buyer’s right to purchase all of the Membership Interests,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Controlling Member shall promptly deliver written notice of the Bona Fide Offer to the remaining Members,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Controlling Member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Members join the Controlling Member in selling their Membership Interests according to the same price calculation and on the same terms and conditions as the Controlling Member.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Members shall have 30 days from the notice in which to elect to buy all (but not less than all) of the Controlling Member’s Membership Interests according to the price formula stated in the Bona Fide Offer. The remaining Members may elect to buy such Membership Interests in proportion to their percentage of ownership in the Company (excluding the Controlling Member’s percentage of ownership),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Members do not, in the aggregate, agree to buy all of the Controlling Member’s Membership Interests, the Controlling Members may sell the Membership Interests pursuant to the terms of the Bona Fide Offer. In such event, the buyer shall have the right and option to buy the remaining Members’ Membership Interests, and the remaining Members shall be obligated to sell their Membership Interests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Members shall execute such agreements and other documents as required of the Controlling Member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this provision and any associated Tag-Along Rights, “Bona Fide Offer”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offer to buy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Membership Interest, that is made (i)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unrelated third party who is ready, able, and willing to close on the purchase, and (ii) is not subject to any finance contingencies or installment payments.</w:t>
      </w:r>
    </w:p>
    <w:p>
      <w:pPr>
        <w:keepNext w:val="0"/>
        <w:spacing w:before="120" w:after="0" w:line="260" w:lineRule="exact"/>
        <w:ind w:left="1080" w:right="0" w:firstLine="0"/>
        <w:jc w:val="left"/>
      </w:pPr>
      <w:r>
        <w:rPr>
          <w:rFonts w:ascii="Times New Roman" w:hAnsi="Times New Roman" w:eastAsia="Times New Roman" w:cs="Times New Roman"/>
          <w:b w:val="0"/>
          <w:sz w:val="24"/>
        </w:rPr>
        <w:t>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 Controlling Member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Company which the Controlling Member desires to accept, and the remaining Members elect not to purchase the subject interests as provided in the section concerning Drag-Along Rights, above,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Members shall have 30 days after delivery of the Bona Fide Offer to notify the Controlling Member that they (or any of them) wish to include their respective Membership Interests in the sale to the offeror. If any Member fails to give notice within this 30-day period, then such Member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Controlling Member shall advise the proposed buyer of such and, on behalf of himself or herself and the remaining Members, offer to sell to the proposed buyer the additional interests according to the same price calculation and on the same payment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interests, such sale shall be made pursuant to the terms and conditions of the Bona Fide Offer as if the Bona Fide Offer was made to, and accepted by, the Controlling Member and the additional selling Members, unless mutually agreed otherwise. In connection with any such sale made pursuant to the terms and conditions of the Bona Fide Offer, each of the remaining Members shall execute such agreements and other documents as required of the Controlling Member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Member shall be permitted to sell Membership Interests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“Put” Rights.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justifiably wish to divest himself or herself of all Company ownership and that, in these situations, the Company should be required to purchase the Member’s interests. Therefore, any Member may at any time offer all (but not less than all) of his or her Membership Interest to the Company as provided herein.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[State Purchase Price, e.g., the value of member equity, determined in accordance with generally accepted accounting principles, multiplied by the percentage of ownership subject to the purchase.]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option shall be exercised by delivery of written notice to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120 days following delivery of the exercise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6.13.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“Call”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Company and its Members shall be best served if the Company can buy the interests of one or more Members. Therefore, the Company may require any Member to sell to the Company all (but not less than all) of his or her Membership Interest for the Agreed Price and on the Agreed Terms.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purchase price [State Purchase Price, e.g., the value of member equity, determined in accordance with generally accepted accounting principles, multiplied by the percentage of ownership subject to the purchase.]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option shall be exercised by delivery of written notice to the Member.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60 days following delivery of the exercise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Partial Year Allocations.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is transferred during the Company’s tax year, all items of income, gain, loss, deduction, and credit allocable to any Membership Interest so transferred shall be allocated between the transferor and the transferee based on the portion of the calendar year during which each was recognized as owning that Membership Interest, without regard to the results of Company operations during any particular portion of that calendar year and without regard to whether cash distributions were made to the transferor or the transferee during that calendar year; provided, however, that this allocation must be made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permissible under Section 706 of the Internal Revenue Code and the regulations thereunder.</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INSURANCE</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Indemnification.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limitations and conditions as provided in this Article, each person who was or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is involved in any legal or administrative proceeding, or any appeal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or any inquiry or investigation that could lead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by reason of the fact that he or she,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whom he or she is the legal representative,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Manager of the Company, or while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Manager of the Company,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director, officer, partner, venturer, proprietor, trustee, employee, agent, or similar functionary of another foreign or domestic limited liability company, corporation, partnership, joint venture, sole proprietorship, trust, employee benefit plan or other enterprise shall be indemnified by the Company to the fullest extent permitted by the TBOC, as the same exists or may hereafter be amended (but, in the case of any such amendment, only to the extent that such amendment permits the Company to provide broader indemnification rights than said law permitted the Company to provide prior to such amendment) against judgments, penalties (including excise and similar taxes and punitive damages), fines, settlements and reasonable expenses (including, without limitation, attorney's fees) actually incurred by such person in connection with such proceeding, and indemnification under this Article shall continue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serve in the capacity which initially entitled such person to indemnity hereunder. The rights granted pursuant to this Article shall be deemed contract rights, and no amendments, modification or repeal of this Article shall have the effect of limiting or denying any such rights with respect to actions taken or proceeding arising prior to any such amendment, modification or repeal. It is expressly acknowledged that the indemnification provided in this Article could involve indemnification for negligence or under theories of strict liability.</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may purchase and maintain insurance, at its expense, to protect itself and any person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Manager or was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Manager, officer, employee or agent of the Company or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Manager, director, officer, partner, venturer, proprietor, trustee, employee, agent or similar functionary of another foreign or domestic limited liability company, corporation, Company, joint venture, sole proprietorship, trust, employee benefit plan or other enterprise against any expense, liability or loss, whether or not the Company would have the power to indemnify such person against such expense, liability or loss under this Article.</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Manager Notification.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the extent required by law, any indemnification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Manager in accordance with this Article shall be reported in writing to the Manager(s) with or before the notice or waiver of notice of the next Manager(s)' meeting or with or before the next submission to Manager(s)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to action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in any case, within the twelve (12) month period immediately following the date of the indemnification or advance.</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Winding Up.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shall begin to wind up its affairs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pursuant to Section 11.051 of the TBOC or successor legislation.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soon as is practicable following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of the Company, the Company shall sell or otherwise liquidate all of its remaining assets. The Member, Managers, and officers of the Company, if any, shall have the right to take into account the market conditions that may exist from time to time in determining when the sale or other liquidation of assets of the Company is practicable. As promptly as practicable, the Company shall pay or make adequate provision for the payment of all known debts, obligations, or liabilities of the Company. As promptly as practicable after the payment of all known debts, obligations, or liabilities of the Company (or the provision for such payment is made), the remaining assets of the Company, if any, shall be distributed to the Members.</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must be sent to or made at the addresses given for that Member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such other address as that Member may specify by notice to the other Members.</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Entire Agreement.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constitutes the entire agreement between and among the Members and the Company. Any and all prior discussions, negotiations, communications, and understandings are hereby consolidated into this Agreement and this Agreement supersedes any and all prior discussions, negotiations, communications, and understandings whether written or oral.</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amended or modified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executed by all Members and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Members and their heirs, legal representatives, successors, and assigns. </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connection with this Agreement and the transactions contemplated hereby, each Member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TEXAS,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 courts of [County], Texas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HEREOF, the Members have adopted and executed this Company Agreement to be effective as of the Effective Date set forth above.</w:t>
      </w:r>
    </w:p>
    <w:p>
      <w:pPr>
        <w:keepNext w:val="0"/>
        <w:spacing w:before="120" w:after="0" w:line="260" w:lineRule="exact"/>
        <w:ind w:left="720" w:right="0" w:firstLine="0"/>
        <w:jc w:val="left"/>
      </w:pPr>
      <w:r>
        <w:rPr>
          <w:rFonts w:ascii="Times New Roman" w:hAnsi="Times New Roman" w:eastAsia="Times New Roman" w:cs="Times New Roman"/>
          <w:b/>
          <w:sz w:val="24"/>
        </w:rPr>
        <w:t>[NAME OF COMPANY]</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[Title of Authorized Person]</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sz w:val="24"/>
        </w:rPr>
        <w:t>MEMBERS: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sz w:val="24"/>
        </w:rPr>
        <w:t>[NAME OF LLC], LLC</w:t>
      </w:r>
    </w:p>
    <w:p>
      <w:pPr/>
    </w:p>
    <w:p>
      <w:pPr>
        <w:keepNext w:val="0"/>
        <w:spacing w:before="120" w:after="0" w:line="260" w:lineRule="exact"/>
        <w:ind w:left="720" w:right="0" w:firstLine="0"/>
        <w:jc w:val="left"/>
      </w:pPr>
      <w:r>
        <w:rPr>
          <w:rFonts w:ascii="Times New Roman" w:hAnsi="Times New Roman" w:eastAsia="Times New Roman" w:cs="Times New Roman"/>
          <w:b/>
          <w:sz w:val="24"/>
        </w:rPr>
        <w:t>[NAME OF LLC]</w:t>
      </w:r>
      <w:r>
        <w:rPr>
          <w:rFonts w:ascii="Times New Roman" w:hAnsi="Times New Roman" w:eastAsia="Times New Roman" w:cs="Times New Roman"/>
          <w:sz w:val="24"/>
        </w:rPr>
        <w:br/>
      </w:r>
      <w:r>
        <w:rPr>
          <w:rFonts w:ascii="Times New Roman" w:hAnsi="Times New Roman" w:eastAsia="Times New Roman" w:cs="Times New Roman"/>
          <w:b/>
          <w:sz w:val="24"/>
        </w:rPr>
        <w:t>SPOUSAL CONSENT</w:t>
      </w:r>
      <w:r>
        <w:rPr>
          <w:rFonts w:ascii="Times New Roman" w:hAnsi="Times New Roman" w:eastAsia="Times New Roman" w:cs="Times New Roman"/>
          <w:sz w:val="24"/>
        </w:rPr>
        <w:br/>
      </w:r>
      <w:r>
        <w:rPr>
          <w:rFonts w:ascii="Times New Roman" w:hAnsi="Times New Roman" w:eastAsia="Times New Roman" w:cs="Times New Roman"/>
          <w:b/>
          <w:sz w:val="24"/>
        </w:rPr>
        <w:t>TO COMPANY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[NAME OF SPOUSE], being the spouse of [NAME OF MEMBER], the Member of [NAME OF LLC]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[NAME OF LLC] Company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hereby acknowledges that: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Members will have the right to and may be obligated to purchase Membership Interest owned by another Member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purchase of the Membership Interest of any Member will include his or her entire interest in such Membership Interest and any community property interest and other marital property interest of the spouse of such Member; and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Membership Interest in the Company by virtue of my marriage and confers on my spouse the right and obligation to purchase any interest I may have in the Company or any Membership Interest in the Company upon the occurrence of certain events.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Membership Interest in the Company shall be subject to the terms of this spousal consent and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I will transfer or bequeath any interest I may have in the Company or any Membership Interest in the Company by my will, outright and free of trust to my spouse.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Spouse]</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