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Company Agreement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COMPANY AGREEMENT OF [NAME OF LLC]</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a</w:t>
      </w:r>
      <w:r>
        <w:rPr>
          <w:rFonts w:ascii="Times New Roman" w:hAnsi="Times New Roman" w:eastAsia="Times New Roman" w:cs="Times New Roman"/>
          <w:b/>
          <w:sz w:val="24"/>
        </w:rPr>
        <w:t xml:space="preserve"> Texas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This Company Agreement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executed as of the Effective Date identified on the signature page (the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by the Members identified in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w:t>
      </w:r>
      <w:r>
        <w:rPr>
          <w:rFonts w:ascii="Times New Roman" w:hAnsi="Times New Roman" w:eastAsia="Times New Roman" w:cs="Times New Roman"/>
          <w:b w:val="0"/>
          <w:sz w:val="24"/>
        </w:rPr>
        <w:t>”) and [NAME OF LLC]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Members desire to form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under the TBOC;</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Members are entering into this Agreement to provide for the governance of the Company and the conduct of its business, and to specify their relative rights and obligations, and to provide for certain other matters, all as permitted by the TBOC;</w:t>
      </w:r>
    </w:p>
    <w:p>
      <w:pPr>
        <w:keepNext w:val="0"/>
        <w:spacing w:before="200" w:after="0" w:line="260" w:lineRule="exact"/>
        <w:ind w:left="72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promises contained in this Agreement and other good and valuable consideration, the receipt and sufficiency of which is hereby acknowledged, the parties agree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IRC</w:t>
      </w:r>
      <w:r>
        <w:rPr>
          <w:rFonts w:ascii="Times New Roman" w:hAnsi="Times New Roman" w:eastAsia="Times New Roman" w:cs="Times New Roman"/>
          <w:b w:val="0"/>
          <w:sz w:val="24"/>
        </w:rPr>
        <w:t>” means the Internal Revenue Code of 1986, as amended, and any successor legislation.</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Majority-in-Interest of the Members</w:t>
      </w:r>
      <w:r>
        <w:rPr>
          <w:rFonts w:ascii="Times New Roman" w:hAnsi="Times New Roman" w:eastAsia="Times New Roman" w:cs="Times New Roman"/>
          <w:b w:val="0"/>
          <w:sz w:val="24"/>
        </w:rPr>
        <w:t xml:space="preserve">” means the Member or Members holding more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50% Percentage Interest in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Membership Interest</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right to receive distributions and allocations of tax items in accordance with the TBOC and this Agreement.</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Percentage Interest</w:t>
      </w:r>
      <w:r>
        <w:rPr>
          <w:rFonts w:ascii="Times New Roman" w:hAnsi="Times New Roman" w:eastAsia="Times New Roman" w:cs="Times New Roman"/>
          <w:b w:val="0"/>
          <w:sz w:val="24"/>
        </w:rPr>
        <w:t xml:space="preserve">” means each Member’s interest in the Company, expressed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percentage, including such Member’s share of profits and losses. The Members’ respective Membership Interests are set forth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Regulations</w:t>
      </w:r>
      <w:r>
        <w:rPr>
          <w:rFonts w:ascii="Times New Roman" w:hAnsi="Times New Roman" w:eastAsia="Times New Roman" w:cs="Times New Roman"/>
          <w:b w:val="0"/>
          <w:sz w:val="24"/>
        </w:rPr>
        <w:t>” means the federal income tax regulations promulgated by the United States Department of the Treasury and published in the Federal Register for the purpose of interpreting and applying the provisions of the IRC, as such Regulations may be amended from time to time, including corresponding provisions of applicable successor regulations.</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TBOC</w:t>
      </w:r>
      <w:r>
        <w:rPr>
          <w:rFonts w:ascii="Times New Roman" w:hAnsi="Times New Roman" w:eastAsia="Times New Roman" w:cs="Times New Roman"/>
          <w:b w:val="0"/>
          <w:sz w:val="24"/>
        </w:rPr>
        <w:t>” means the Texas Business Organizations Code, effective January 1, 2006, as amended, and any successor legislation.</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Transferee</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which all or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Membership Interest has been transferred, whether or not the person has been admitted to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w:t>
      </w:r>
    </w:p>
    <w:p>
      <w:pPr>
        <w:keepNext w:val="0"/>
        <w:spacing w:before="200" w:after="0" w:line="260" w:lineRule="exact"/>
        <w:ind w:left="1440" w:right="0" w:firstLine="0"/>
        <w:jc w:val="both"/>
      </w:pPr>
      <w:r>
        <w:rPr>
          <w:rFonts w:ascii="Times New Roman" w:hAnsi="Times New Roman" w:eastAsia="Times New Roman" w:cs="Times New Roman"/>
          <w:b w:val="0"/>
          <w:sz w:val="24"/>
        </w:rPr>
        <w:t>Other capitalized terms will have the meanings ascribed to them in the body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FORMATION, PRINCIPAL OFFICE, PURPOSE, AND POWERS</w:t>
      </w:r>
    </w:p>
    <w:p>
      <w:pPr>
        <w:keepNext w:val="0"/>
        <w:spacing w:before="120" w:after="0" w:line="260" w:lineRule="exact"/>
        <w:ind w:left="144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Certificate of Formation.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Formation was filed in the office of the Texas Secretary of State in accordance with the TBOC.</w:t>
      </w:r>
    </w:p>
    <w:p>
      <w:pPr>
        <w:keepNext w:val="0"/>
        <w:spacing w:before="120" w:after="0" w:line="260" w:lineRule="exact"/>
        <w:ind w:left="144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Name.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name of the Company is "[NAME OF LLC]" and all Company business shall be conducted in that name or such other names as the Members may adopt from time to time.</w:t>
      </w:r>
    </w:p>
    <w:p>
      <w:pPr>
        <w:keepNext w:val="0"/>
        <w:spacing w:before="120" w:after="0" w:line="260" w:lineRule="exact"/>
        <w:ind w:left="144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Purposes and Powers.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purpose of the Company is to conduct any lawful businesses which may be performed by limited liability companies under Texas law. The Company has the same powers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to take action necessary or convenient to carry out its business and affairs, including all of the powers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domestic entity as set forth in Title 1, Chapter 2, of the TBOC.</w:t>
      </w:r>
    </w:p>
    <w:p>
      <w:pPr>
        <w:keepNext w:val="0"/>
        <w:spacing w:before="120" w:after="0" w:line="260" w:lineRule="exact"/>
        <w:ind w:left="1440" w:right="0" w:firstLine="0"/>
        <w:jc w:val="left"/>
      </w:pPr>
      <w:r>
        <w:rPr>
          <w:rFonts w:ascii="Times New Roman" w:hAnsi="Times New Roman" w:eastAsia="Times New Roman" w:cs="Times New Roman"/>
          <w:b w:val="0"/>
          <w:sz w:val="24"/>
        </w:rPr>
        <w:t>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will have perpetual duration.</w:t>
      </w:r>
    </w:p>
    <w:p>
      <w:pPr>
        <w:keepNext w:val="0"/>
        <w:spacing w:before="120" w:after="0" w:line="260" w:lineRule="exact"/>
        <w:ind w:left="1440" w:right="0" w:firstLine="0"/>
        <w:jc w:val="left"/>
      </w:pPr>
      <w:r>
        <w:rPr>
          <w:rFonts w:ascii="Times New Roman" w:hAnsi="Times New Roman" w:eastAsia="Times New Roman" w:cs="Times New Roman"/>
          <w:b w:val="0"/>
          <w:sz w:val="24"/>
        </w:rPr>
        <w:t>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Principal Office.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For purposes of complying with its recordkeeping requirements, the Company shall keep its books and records at its principal office in the United States, located at: [Address]. The Company shall maintain at its principal office the Company’s records and accounts required by the TBOC, including minutes of the proceedings of the members or and committees of the members.</w:t>
      </w:r>
    </w:p>
    <w:p>
      <w:pPr>
        <w:keepNext w:val="0"/>
        <w:spacing w:before="120" w:after="0" w:line="260" w:lineRule="exact"/>
        <w:ind w:left="1440" w:right="0" w:firstLine="0"/>
        <w:jc w:val="left"/>
      </w:pPr>
      <w:r>
        <w:rPr>
          <w:rFonts w:ascii="Times New Roman" w:hAnsi="Times New Roman" w:eastAsia="Times New Roman" w:cs="Times New Roman"/>
          <w:b w:val="0"/>
          <w:sz w:val="24"/>
        </w:rPr>
        <w:t>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Registered Office and Resident Agent for Service of Process.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Company’s initial registered office is as set forth in the Certificate of Formation. The Company’s registered office and its agent for service of process may only be changed by filing notice of the change with the Texas Secretary of State.</w:t>
      </w:r>
    </w:p>
    <w:p>
      <w:pPr>
        <w:keepNext w:val="0"/>
        <w:spacing w:before="120" w:after="0" w:line="260" w:lineRule="exact"/>
        <w:ind w:left="1440" w:right="0" w:firstLine="0"/>
        <w:jc w:val="left"/>
      </w:pPr>
      <w:r>
        <w:rPr>
          <w:rFonts w:ascii="Times New Roman" w:hAnsi="Times New Roman" w:eastAsia="Times New Roman" w:cs="Times New Roman"/>
          <w:b w:val="0"/>
          <w:sz w:val="24"/>
        </w:rPr>
        <w:t>2.7.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Provisions.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Members shall cause one or more bank accounts to be maintained in the name of the Company in such bank or banks as may be determined by the Members, which accounts shall be used for the payment of expenditures incurred by the Company and in which shall be deposited any and all receipts of the Company. All such receipts shall be and remain the property of the Company, shall be received, held, and disbursed by the Members for the purposes specified in this Agreement, and shall not be commingled with the funds of any other person.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At the end of each fiscal year, the books of the Company shall be closed, examined and financial statements shall be prepared,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report thereon shall be issued by the Company’s accountants. Copies of the financial statements shall be given to all Members. In addition, all Members shall receive not less frequently than at the end of each calendar quarter, copies of such financial statements regarding the previous calendar quarter, as may be prepared in the ordinary course of business, by the chief financial officer or accountants selected by the chief financial officer. The chief financial officer shall deliver to each Member, within 90 days after the end of the Company’s fiscal year 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statement that shall include: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balance sheet as of the Company’s fiscal year end, and (b) related statements of income, expenses, and cash flows for the relevant period.</w:t>
      </w:r>
    </w:p>
    <w:p>
      <w:pPr>
        <w:keepNext w:val="0"/>
        <w:spacing w:before="120" w:after="0" w:line="260" w:lineRule="exact"/>
        <w:ind w:left="1440" w:right="0" w:firstLine="0"/>
        <w:jc w:val="left"/>
      </w:pPr>
      <w:r>
        <w:rPr>
          <w:rFonts w:ascii="Times New Roman" w:hAnsi="Times New Roman" w:eastAsia="Times New Roman" w:cs="Times New Roman"/>
          <w:b w:val="0"/>
          <w:sz w:val="24"/>
        </w:rPr>
        <w:t>2.8.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Provisions.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Members shall perform all acts necessary to ensure that the Company is taxed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for federal income tax purposes.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Within 90 days after the end of each taxable year of the Company, the Company shall send to each of the Members all information necessary for the Members to complete their federal, state, and local income tax or information returns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Company’s federal, state, and local income tax or information returns for such year.</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Members shall select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Representative,” who shall be the “partnership representative” of the Company within the meaning of Section 6223(</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Code. If any state or local tax law provides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representative or person having similar rights, powers, authority or obligations (including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matters partner”), the Tax Representative shall also serve in such capacity. [The Members shall also select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“designated individual” (Designated Individual).] The Tax Representative [(and any Designated Individual)] may resign at any time, subject to the provisions of Treasury Regulations Section 301-6223-1.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Representative ceases to serve as such for any reason, the Company itself will automatically and immediately become the new (acting) Tax Representative until the Members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Tax Representative.</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Except as otherwise provided in this Agreement, the Tax Representative (i) shall have all of the rights, authority and power, and shall be subject to all of the obligations,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representative to the extent provided in the Code and the Treasury Regulations (and any rights, authority, power and obligations applicable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representative under applicable state or local laws), and the Members hereby agree to be bound by any actions taken by the Tax Representative in such capacity; provided, that the Tax Representative shall not (</w:t>
      </w:r>
      <w:r>
        <w:rPr>
          <w:rFonts w:ascii="Times New Roman" w:hAnsi="Times New Roman" w:eastAsia="Times New Roman" w:cs="Times New Roman"/>
          <w:b/>
          <w:sz w:val="24"/>
        </w:rPr>
        <w:t>A</w:t>
      </w:r>
      <w:r>
        <w:rPr>
          <w:rFonts w:ascii="Times New Roman" w:hAnsi="Times New Roman" w:eastAsia="Times New Roman" w:cs="Times New Roman"/>
          <w:b w:val="0"/>
          <w:sz w:val="24"/>
        </w:rPr>
        <w:t>) settle any material tax claim or (B) make any material tax election without the consent of Members; and (ii) shall have sole discretion to make any income tax election it deems advisable on behalf of the Company and shall represent the Company in all tax matters to the extent allowed by law. The Tax Representative shall have the authority and responsibility to arrange for the preparation, and timely filing, of the Company’s tax returns.</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Tax Representative [and the Designated Individual] shall be entitled to reimbursement by the Company for all reasonable costs and expenses incurred by [it][them] in connection with the performance of the obligations hereunder. The Company shall indemnify, defend, and hold the Tax Representative [and the Designated Individual] harmless for all expenses, including legal and accounting fees, claims, liabilities, losses and damages incurred in connection with its serving in that capacity, provided that Tax Representative [and the Designated Individual] shall not be entitled to indemnification for such costs and expenses if such person has not acted in good faith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purpose which such person reasonably believes to be in, or not opposed to, the best interests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Each Member agrees to provide promptly and to update as necessary at any times requested by the partnership representative, all information, documents, self-certifications, tax identification numbers, tax forms, and verifications thereof, that the Tax Representative deems necessary in connection with any matter of the Company relating to taxation. Each Member covenants and agrees to take any action reasonably requested by the Company in connection with any tax election by the Company under Section 6221(b) or 6226 of the Code or otherwise,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audit, claim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adjustment of the Company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taxing authority (including, without limitation, promptly filing amended tax returns and promptly paying any related taxes, including penalties and interest).</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To the extent the Company is required to pay any taxes (including any penalties or interest associated therewith)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audit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of final partnership adjustment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fiscal year (or portion thereof), each Member (including any former Members) shall indemnify and hold harmless the Company for such Member’s share of applicable taxes, as determined by the partnership representative in its reasonable discretion. To the extent any Member is liable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the taxes (and any penalties or interest associated therewith) with respect to the Company’s operations, investments or business, such Member shall pay such share to the Company promptly following receipt of written notice by the Company of any such share owed.</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Members agree that, if the Company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of final partnership adjustment from the Internal Revenue Service that would, with the passing of time, result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“imputed underpayment” imposed on the Company as that term is defined in Code Section 6225, then, any Member may, or may cause the Company (by directing the “partnership representative” or otherwise) to elect pursuant to Code Section 6226, and comply with all of the requirements and procedures required in connection with such election, to make inapplicable to the Company the requirement in Code Section 6225 to pay the “imputed underpayment” as that term is used in that section; provided however, that if any Member objects in writing to such election, and provides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alternative to the Code Section 6226 election that is materially more favorable to such Member and no less favorable to the other Members, then the Company shall in good faith pursue such alternative so long as it can be implemented without jeopardizing the Member’s rights to the Code Section 6226 election and so long as the Board determines that such alternative does not impose additional financial or administrative burdens on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To the extent permitted by applicable law, and at the request of the Members, the partnership representative shall elect pursuant to Code Section 6221(b) and comply with all of the requirements and procedures required in connection with such election, to have the provisions of Subchapter C of Chapter 63 of the Code not apply to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(j)</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Notwithstanding any provision of this Agreement to the contrary, the obligations and responsibilities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under Section </w:t>
      </w:r>
      <w:r>
        <w:rPr>
          <w:rFonts w:ascii="Times New Roman" w:hAnsi="Times New Roman" w:eastAsia="Times New Roman" w:cs="Times New Roman"/>
          <w:b w:val="0"/>
          <w:sz w:val="24"/>
        </w:rPr>
        <w:t>2.8.</w:t>
      </w:r>
      <w:r>
        <w:rPr>
          <w:rFonts w:ascii="Times New Roman" w:hAnsi="Times New Roman" w:eastAsia="Times New Roman" w:cs="Times New Roman"/>
          <w:b w:val="0"/>
          <w:sz w:val="24"/>
        </w:rPr>
        <w:t xml:space="preserve"> shall survive the termination of this Agreement between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and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(k)</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the event there are any statutory amendments; temporary, proposed or final Treasury Regulations; any IRS guidance published in the Internal Revenue Bulletin and/or Cumulative Bulletin; any notice, announcement, revenue ruling or revenue procedure or similar authority issued by the IRS; or any other administrative guidance, in each case, interpreting or applying Section 1101 of the Budget Act (“Further Guidance”), the Members shall further amend this Agreement to include such Further Guidance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consistent with this Section </w:t>
      </w:r>
      <w:r>
        <w:rPr>
          <w:rFonts w:ascii="Times New Roman" w:hAnsi="Times New Roman" w:eastAsia="Times New Roman" w:cs="Times New Roman"/>
          <w:b w:val="0"/>
          <w:sz w:val="24"/>
        </w:rPr>
        <w:t>2.8.</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MEMBERS AND MANAGEMENT</w:t>
      </w:r>
    </w:p>
    <w:p>
      <w:pPr>
        <w:keepNext w:val="0"/>
        <w:spacing w:before="120" w:after="0" w:line="260" w:lineRule="exact"/>
        <w:ind w:left="144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name and address of each Member is reflected on </w:t>
      </w:r>
      <w:r>
        <w:rPr>
          <w:rFonts w:ascii="Times New Roman" w:hAnsi="Times New Roman" w:eastAsia="Times New Roman" w:cs="Times New Roman"/>
          <w:b w:val="0"/>
          <w:sz w:val="24"/>
        </w:rPr>
        <w:t>Schedule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Except as expressly set forth in this Agreement or required by law, no Member shall be personally liable for any debt, obligation or liability of the Company, whether that liability or obligation arises in contract, tort, or otherwise.</w:t>
      </w:r>
    </w:p>
    <w:p>
      <w:pPr>
        <w:keepNext w:val="0"/>
        <w:spacing w:before="120" w:after="0" w:line="260" w:lineRule="exact"/>
        <w:ind w:left="144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Additional Capital Calls.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There will be no additional assessments or contributions to capital required of any Member.</w:t>
      </w:r>
    </w:p>
    <w:p>
      <w:pPr>
        <w:keepNext w:val="0"/>
        <w:spacing w:before="120" w:after="0" w:line="260" w:lineRule="exact"/>
        <w:ind w:left="144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Admission of New Members.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may be admitted to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only with consent of all of the Members.</w:t>
      </w:r>
    </w:p>
    <w:p>
      <w:pPr>
        <w:keepNext w:val="0"/>
        <w:spacing w:before="120" w:after="0" w:line="260" w:lineRule="exact"/>
        <w:ind w:left="144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Withdrawal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Member.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may not withdraw or be expelled from the Company at any time without the prior written consent of all Members.</w:t>
      </w:r>
    </w:p>
    <w:p>
      <w:pPr>
        <w:keepNext w:val="0"/>
        <w:spacing w:before="120" w:after="0" w:line="260" w:lineRule="exact"/>
        <w:ind w:left="1440" w:right="0" w:firstLine="0"/>
        <w:jc w:val="left"/>
      </w:pP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Management.</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Members shall have the sole and exclusive control of the management, business and affairs of the Company, and the Members shall make all decisions and take all actions for and on behalf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Except as otherwise provided in this Agreement, the affirmative vote or consent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Majority-in-Interest of the Members will be considered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 or consent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 Meetings.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Members may be called by any Member.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Meetings of the Members may be held in person or by means of conference telephone or similar communications equipment by which all Members participating in the meeting can hear each other. Or, another suitable electronic communications system may be used including video-conferencing technology or the Internet, but only if each Member entitled to participate in the meeting consents to the meeting being held by means of that system and the system provides access to the meeting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or using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method by which each person participating in the meeting can communicate concurrently with each other participant. Participation in such meeting shall constitute attendance and presence in Member at such meeting, except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participates in the meeting for the express purpose of objecting to the transaction of any business on the ground that the meeting is not lawfully called or convened.</w:t>
      </w:r>
    </w:p>
    <w:p>
      <w:pPr>
        <w:keepNext w:val="0"/>
        <w:spacing w:before="120" w:after="0" w:line="260" w:lineRule="exact"/>
        <w:ind w:left="108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CAPITAL ACCOUNTS; MEMBERS’ DISTRIBUTIVE SHARE OF TAX ITEMS; DISTRIBUTIONS</w:t>
      </w:r>
    </w:p>
    <w:p>
      <w:pPr>
        <w:keepNext w:val="0"/>
        <w:spacing w:before="120" w:after="0" w:line="260" w:lineRule="exact"/>
        <w:ind w:left="144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Capital Account.</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shall establish and maintain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capital account (“</w:t>
      </w:r>
      <w:r>
        <w:rPr>
          <w:rFonts w:ascii="Times New Roman" w:hAnsi="Times New Roman" w:eastAsia="Times New Roman" w:cs="Times New Roman"/>
          <w:b/>
          <w:sz w:val="24"/>
        </w:rPr>
        <w:t>Capital Account</w:t>
      </w:r>
      <w:r>
        <w:rPr>
          <w:rFonts w:ascii="Times New Roman" w:hAnsi="Times New Roman" w:eastAsia="Times New Roman" w:cs="Times New Roman"/>
          <w:b w:val="0"/>
          <w:sz w:val="24"/>
        </w:rPr>
        <w:t xml:space="preserve">”) for each Member in accordance with Reg. 1.704-1(b)(2)(iv). No Member shall be entitled to demand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refund or return of his or her Initial Capital Contribution, or to withdraw any part of his or her Capital Account. No interest shall accrue or be paid on Initial Capital Contributions or on Capital Account balances.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amount of each Member’s “</w:t>
      </w:r>
      <w:r>
        <w:rPr>
          <w:rFonts w:ascii="Times New Roman" w:hAnsi="Times New Roman" w:eastAsia="Times New Roman" w:cs="Times New Roman"/>
          <w:b/>
          <w:sz w:val="24"/>
        </w:rPr>
        <w:t>Initial Capital Contribution</w:t>
      </w:r>
      <w:r>
        <w:rPr>
          <w:rFonts w:ascii="Times New Roman" w:hAnsi="Times New Roman" w:eastAsia="Times New Roman" w:cs="Times New Roman"/>
          <w:b w:val="0"/>
          <w:sz w:val="24"/>
        </w:rPr>
        <w:t xml:space="preserve">” (i.e., the amount of cash and the fair market value of any property the Member has contributed for his or her Membership Interest as of the Effective Date) is set forth opposite his or her name on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Each Member’s Capital Account shall be increased by (1) the amount of money contributed by him or her to the Company, (2) the fair market value of property contributed by him or her to the Company (net of liabilities that the Company is considered to assume or take subject to), and (3) allocations to him or her of Company income and gain (or items thereof), including income and gain exempt from tax and income and gain described in Reg. 1.704-1(b)(2)(iv)(g), but excluding income and gain described in Reg. 1.704-1(b)(4)(i); and shall be decreased by (4) the amount of money distributed to him or her by the Company, (5) the fair market value of property distributed to him or her by the Company (net of liabilities that such Company is considered to assume or take subject to), (6) allocations to him or her of expenditures of the Company described in § 705(</w:t>
      </w:r>
      <w:r>
        <w:rPr>
          <w:rFonts w:ascii="Times New Roman" w:hAnsi="Times New Roman" w:eastAsia="Times New Roman" w:cs="Times New Roman"/>
          <w:b/>
          <w:sz w:val="24"/>
        </w:rPr>
        <w:t>a</w:t>
      </w:r>
      <w:r>
        <w:rPr>
          <w:rFonts w:ascii="Times New Roman" w:hAnsi="Times New Roman" w:eastAsia="Times New Roman" w:cs="Times New Roman"/>
          <w:b w:val="0"/>
          <w:sz w:val="24"/>
        </w:rPr>
        <w:t>)(2)(B), and (7) allocations of Company loss and deduction (or item thereof), including loss and deduction described in Reg. 1.704-1(b)(2)(iv)(g), but excluding items described in (6) above and loss or deduction described in Reg. 1.704-1(b)(4)(i) or (b)(4)(iii). The Members’ Capital Accounts shall be further adjusted in accordance with the additional rules set forth in Reg. 1.704-1(b)(2)(iv).</w:t>
      </w:r>
    </w:p>
    <w:p>
      <w:pPr>
        <w:keepNext w:val="0"/>
        <w:spacing w:before="120" w:after="0" w:line="260" w:lineRule="exact"/>
        <w:ind w:left="144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Member’s Distributive Share.</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Except as otherwise provided in this 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or as may be required by IRC 704(c) and Reg. §1.704-1(b)(2)(iv)(f)(4), all Profits and Losses shall be allocated among the Members in accordance with the Percentage Interests described in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 Such allocated amounts shall be referred to as the Member’s “Distributive Share.”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Notwithstanding the foregoing, losses shall not be allocated to any Member to the extent that such allocation would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Capital Account deficit if and to the extent that the allocation of such losses to one or more of the other Members would not result in such other Members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Capital Account deficit. In such event, losses shall first be allocated to Members who do not have and will 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Capital Account deficit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the allocation of such losses to the maximum extent provided under Reg. §1.704-1(b)(2)(ii)(d).</w:t>
      </w:r>
    </w:p>
    <w:p>
      <w:pPr>
        <w:keepNext w:val="0"/>
        <w:spacing w:before="200" w:after="0" w:line="260" w:lineRule="exact"/>
        <w:ind w:left="1800" w:right="0" w:firstLine="0"/>
        <w:jc w:val="both"/>
      </w:pPr>
      <w:r>
        <w:rPr>
          <w:rFonts w:ascii="Times New Roman" w:hAnsi="Times New Roman" w:eastAsia="Times New Roman" w:cs="Times New Roman"/>
          <w:b w:val="0"/>
          <w:sz w:val="24"/>
        </w:rPr>
        <w:t>As used in this Agreement, “</w:t>
      </w:r>
      <w:r>
        <w:rPr>
          <w:rFonts w:ascii="Times New Roman" w:hAnsi="Times New Roman" w:eastAsia="Times New Roman" w:cs="Times New Roman"/>
          <w:b/>
          <w:sz w:val="24"/>
        </w:rPr>
        <w:t>Profits and Losses</w:t>
      </w:r>
      <w:r>
        <w:rPr>
          <w:rFonts w:ascii="Times New Roman" w:hAnsi="Times New Roman" w:eastAsia="Times New Roman" w:cs="Times New Roman"/>
          <w:b w:val="0"/>
          <w:sz w:val="24"/>
        </w:rPr>
        <w:t xml:space="preserve">” means, for each fiscal year or other period specified in this Agreement,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Company’s taxable income or loss for such year or period, determined in accordance with IRC §703(</w:t>
      </w:r>
      <w:r>
        <w:rPr>
          <w:rFonts w:ascii="Times New Roman" w:hAnsi="Times New Roman" w:eastAsia="Times New Roman" w:cs="Times New Roman"/>
          <w:b/>
          <w:sz w:val="24"/>
        </w:rPr>
        <w:t>a</w:t>
      </w:r>
      <w:r>
        <w:rPr>
          <w:rFonts w:ascii="Times New Roman" w:hAnsi="Times New Roman" w:eastAsia="Times New Roman" w:cs="Times New Roman"/>
          <w:b w:val="0"/>
          <w:sz w:val="24"/>
        </w:rPr>
        <w:t>), including all items required to be stated separately pursuant to IRC §703(</w:t>
      </w:r>
      <w:r>
        <w:rPr>
          <w:rFonts w:ascii="Times New Roman" w:hAnsi="Times New Roman" w:eastAsia="Times New Roman" w:cs="Times New Roman"/>
          <w:b/>
          <w:sz w:val="24"/>
        </w:rPr>
        <w:t>a</w:t>
      </w:r>
      <w:r>
        <w:rPr>
          <w:rFonts w:ascii="Times New Roman" w:hAnsi="Times New Roman" w:eastAsia="Times New Roman" w:cs="Times New Roman"/>
          <w:b w:val="0"/>
          <w:sz w:val="24"/>
        </w:rPr>
        <w:t>)(1), with the following adjustments:</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Any income of the Company that is exempt from federal income tax and not otherwise taken into account in computing Profits and Losses shall be added to such taxable income or loss;</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Any expenditures of the Company described in IRC §705(</w:t>
      </w:r>
      <w:r>
        <w:rPr>
          <w:rFonts w:ascii="Times New Roman" w:hAnsi="Times New Roman" w:eastAsia="Times New Roman" w:cs="Times New Roman"/>
          <w:b/>
          <w:sz w:val="24"/>
        </w:rPr>
        <w:t>a</w:t>
      </w:r>
      <w:r>
        <w:rPr>
          <w:rFonts w:ascii="Times New Roman" w:hAnsi="Times New Roman" w:eastAsia="Times New Roman" w:cs="Times New Roman"/>
          <w:b w:val="0"/>
          <w:sz w:val="24"/>
        </w:rPr>
        <w:t>)(2)(B) or treated as IRC §705(</w:t>
      </w:r>
      <w:r>
        <w:rPr>
          <w:rFonts w:ascii="Times New Roman" w:hAnsi="Times New Roman" w:eastAsia="Times New Roman" w:cs="Times New Roman"/>
          <w:b/>
          <w:sz w:val="24"/>
        </w:rPr>
        <w:t>a</w:t>
      </w:r>
      <w:r>
        <w:rPr>
          <w:rFonts w:ascii="Times New Roman" w:hAnsi="Times New Roman" w:eastAsia="Times New Roman" w:cs="Times New Roman"/>
          <w:b w:val="0"/>
          <w:sz w:val="24"/>
        </w:rPr>
        <w:t>)(2)(B) expenditures pursuant to Reg. §1.704-1(b)(2)(iv)(i) and not otherwise taken into account in computing Profits or Losses shall be subtracted from such taxable income or shall increase such loss;</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Gain or loss resulting from the disposition of any Company property with respect to which gain or loss is recognized for federal income tax purposes shall be computed by reference to the fair market value of the property disposed of, notwithstanding that the adjusted tax basis of such property differs from its fair market value. In the event that the fair market value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asset is adjusted as permitted by any provision of the Code, the amount of such adjustment shall be taken into account as gain or loss from the disposition of such asset for purposes of computing Profits or Losses.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Member nonrecourse deductions for any fiscal year of the Company shall be allocated to the Member or Members who bear (or who are deemed to bear) the economic risk of loss with respect to the Member nonrecourse debt to which such Member nonrecourse deductions are attributable in accordance with Reg. §1.704-2(i)(2). Nonrecourse deductions (i.e., deductions attributable to liabilities for which no Member or related person bears the economic risk of loss with respect to the liability) shall be allocated among the Members as Losses are allocated, provided such allocation is in accordance with Reg. §1.704-2(e).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Notwithstanding any of the foregoing provisions of this 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to the contrary:</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If during any tax year of the Company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net decrease in Company “minimum gain” as defined in Reg. §1.704-2(b)(2), during any Company taxable period, each Member shall be allocated items of Company income and gain for such period (and, if necessary, subsequent periods) in the manner and amounts provided in Reg. §§ 1.704-2(f)(6), 1.704-2(g)(2) and 1.704-2(j)(2)(i), or any successor provision. For purposes of this 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(c)</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each Member’s Capital Account balance shall be determined, and the allocation of income or gain required hereunder shall be effected, prior to the application of any other allocations pursuant to this 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with respect to such taxable period. This 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(c)</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is intended to comply with the minimum gain chargeback requirement in Reg. §1.704-2(f) and shall be interpreted consistently therewith.</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If during any tax year of the Company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net decrease in Member nonrecourse debt minimum gain during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fiscal year, except as otherwise provided in Reg. §1.704-2(i)(4), any Member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the Member nonrecourse debt minimum gain as of the beginning of such fiscal year shall be allocated items of Company income and gain for such period (and, if necessary, subsequent periods) in the manner and amounts provided in Reg. 1.704-2(i)(4), or any successor provision. For purposes of this 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(c)</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each Member’s Capital Account balance shall be determined, and the allocation of income or gain required hereunder shall be effected, prior to the application of any other allocations pursuant to this 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with respect to such taxable period. This 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(c)</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is intended to comply with the partner nonrecourse debt minimum gain chargeback requirement in Reg. §1.704-2)(i)(4) and shall be interpreted consistently therewith.</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Notwithstanding any other provision of this Agreement, any Member who unexpectedly receives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adjustment, allocation, or distribution that causes, or that increases,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deficit balance in such Member’s Capital Account, shall be allocated items of income and gain (consisting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 rata portion of each item of Company income, including gross income, and gain for such year)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and manner sufficient to eliminate such deficit balance as quickly as possible. Such allocation shall be made only if and to the extent that such Member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deficit Capital Account balance after all other allocations provided for in this Article have been tentatively made as if this provision were not in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Curative Allocations.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allocations set forth in Sections </w:t>
      </w:r>
      <w:r>
        <w:rPr>
          <w:rFonts w:ascii="Times New Roman" w:hAnsi="Times New Roman" w:eastAsia="Times New Roman" w:cs="Times New Roman"/>
          <w:b w:val="0"/>
          <w:sz w:val="24"/>
        </w:rPr>
        <w:t>4.2.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are intended to comply with certain requirements of the Regulations (the “</w:t>
      </w:r>
      <w:r>
        <w:rPr>
          <w:rFonts w:ascii="Times New Roman" w:hAnsi="Times New Roman" w:eastAsia="Times New Roman" w:cs="Times New Roman"/>
          <w:b/>
          <w:sz w:val="24"/>
        </w:rPr>
        <w:t>Regulatory Allocations</w:t>
      </w:r>
      <w:r>
        <w:rPr>
          <w:rFonts w:ascii="Times New Roman" w:hAnsi="Times New Roman" w:eastAsia="Times New Roman" w:cs="Times New Roman"/>
          <w:b w:val="0"/>
          <w:sz w:val="24"/>
        </w:rPr>
        <w:t xml:space="preserve">”). It is the intent of the Members that, to the extent possible, all Regulatory Allocations shall be offset either with other Regulatory Allocations or with special allocations of other items of Company income, gain, loss, or deduction pursuant to this Section </w:t>
      </w: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Therefore, notwithstanding any other provision of this 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(other than the Regulatory Allocations), the Members shall make such offsetting special allocations of Company income, gain, loss, or deduction in whatever manner they determine appropriate so that, after such offsetting allocations are made, each Member’s Capital Account balance is, to the extent possible, and to the extent permitted by the Regulations, equal to the Capital Account balance such Member would have had if the Regulatory Allocations were not part of this Agreement and all Company items were allocated pursuant to 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In exercising their discretion under this Section </w:t>
      </w: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the Members shall take into account any future Regulatory Allocations that are likely to offset Regulatory Allocations made under Sections </w:t>
      </w:r>
      <w:r>
        <w:rPr>
          <w:rFonts w:ascii="Times New Roman" w:hAnsi="Times New Roman" w:eastAsia="Times New Roman" w:cs="Times New Roman"/>
          <w:b w:val="0"/>
          <w:sz w:val="24"/>
        </w:rPr>
        <w:t>4.2.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Deficit Restoration Obligation.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No Member shall have any obligation to restore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deficit balance in his or her Capital Account following the liquidation of his or her interest in the Company, as determined after taking into account all Capital Account adjustments for the Company’s taxable year during which such liquidation occurs.</w:t>
      </w:r>
    </w:p>
    <w:p>
      <w:pPr>
        <w:keepNext w:val="0"/>
        <w:spacing w:before="120" w:after="0" w:line="260" w:lineRule="exact"/>
        <w:ind w:left="108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DISTRIBUTIONS</w:t>
      </w:r>
    </w:p>
    <w:p>
      <w:pPr>
        <w:keepNext w:val="0"/>
        <w:spacing w:before="120" w:after="0" w:line="260" w:lineRule="exact"/>
        <w:ind w:left="144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Mandatory Tax Distributions.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order to enable the Members to pay their allocable portion of federal income taxes, the Company shall distribute annually to each Member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33% of the Company taxable income allocated to him or her pursuant to 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Such distribution shall be made on or before March 31st of each calendar year. The Members shall be entitled to receive only cash upon such distributions, and such distributions shall be considered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for all purposes under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Periodic Distributions.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From time to time, the Members will, with the advice of the Company’s financial advisors, agree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mandatory cash reserve (or formula for determining the mandatory cash reserve) (“</w:t>
      </w:r>
      <w:r>
        <w:rPr>
          <w:rFonts w:ascii="Times New Roman" w:hAnsi="Times New Roman" w:eastAsia="Times New Roman" w:cs="Times New Roman"/>
          <w:b/>
          <w:sz w:val="24"/>
        </w:rPr>
        <w:t>Reserve</w:t>
      </w:r>
      <w:r>
        <w:rPr>
          <w:rFonts w:ascii="Times New Roman" w:hAnsi="Times New Roman" w:eastAsia="Times New Roman" w:cs="Times New Roman"/>
          <w:b w:val="0"/>
          <w:sz w:val="24"/>
        </w:rPr>
        <w:t>”). Any cash resulting from normal business operations (as distinguished from the liquidation of Company assets) in excess of the Reserve will be deemed cash available for distribution to the Members (“</w:t>
      </w:r>
      <w:r>
        <w:rPr>
          <w:rFonts w:ascii="Times New Roman" w:hAnsi="Times New Roman" w:eastAsia="Times New Roman" w:cs="Times New Roman"/>
          <w:b/>
          <w:sz w:val="24"/>
        </w:rPr>
        <w:t>Available Cash</w:t>
      </w:r>
      <w:r>
        <w:rPr>
          <w:rFonts w:ascii="Times New Roman" w:hAnsi="Times New Roman" w:eastAsia="Times New Roman" w:cs="Times New Roman"/>
          <w:b w:val="0"/>
          <w:sz w:val="24"/>
        </w:rPr>
        <w:t>”). In addition to the mandatory tax distribution described above, Available Cash shall be distributed periodically to the Members in accordance with each Member’s distributive share as described below. The Members acknowledge that no assurances can be given with respect to when or whether Available Cash will be available for distribution to the Members.</w:t>
      </w:r>
    </w:p>
    <w:p>
      <w:pPr>
        <w:keepNext w:val="0"/>
        <w:spacing w:before="120" w:after="0" w:line="260" w:lineRule="exact"/>
        <w:ind w:left="144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Members’ Distributive Share.</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Non-liquidating distributions shall be made in accordance with the Members’ Percentage Interest described in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Liquidating distributions shall be made in accordance with the positive Capital Account balances of the Members, after taking into account all Capital Account adjustments for the Company taxable year during which such liquidation occurs (other than those made pursuant to this requirement) by the end of such taxable year (or, if later, within 90 days after the date of such liquidation).</w:t>
      </w:r>
    </w:p>
    <w:p>
      <w:pPr>
        <w:keepNext w:val="0"/>
        <w:spacing w:before="120" w:after="0" w:line="260" w:lineRule="exact"/>
        <w:ind w:left="1440" w:right="0" w:firstLine="0"/>
        <w:jc w:val="left"/>
      </w:pP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Offset.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Whenever the Company is to make any distributions pursuant to this Article </w:t>
      </w:r>
      <w:r>
        <w:rPr>
          <w:rFonts w:ascii="Times New Roman" w:hAnsi="Times New Roman" w:eastAsia="Times New Roman" w:cs="Times New Roman"/>
          <w:b w:val="0"/>
          <w:sz w:val="24"/>
        </w:rPr>
        <w:t>V.</w:t>
      </w:r>
      <w:r>
        <w:rPr>
          <w:rFonts w:ascii="Times New Roman" w:hAnsi="Times New Roman" w:eastAsia="Times New Roman" w:cs="Times New Roman"/>
          <w:b w:val="0"/>
          <w:sz w:val="24"/>
        </w:rPr>
        <w:t xml:space="preserve">, the Company may deduct from the distribution any amounts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owes the Company, and may apply such amount toward satisfaction of such debt.</w:t>
      </w:r>
    </w:p>
    <w:p>
      <w:pPr>
        <w:keepNext w:val="0"/>
        <w:spacing w:before="120" w:after="0" w:line="260" w:lineRule="exact"/>
        <w:ind w:left="108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OF MEMBERSHIP INTERESTS</w:t>
      </w:r>
    </w:p>
    <w:p>
      <w:pPr>
        <w:keepNext w:val="0"/>
        <w:spacing w:before="120" w:after="0" w:line="260" w:lineRule="exact"/>
        <w:ind w:left="144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of Membership Interest.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Except as otherwise provided in this 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no Member shall transfer, sell, encumber, assign, or otherwise dispose of any Membership Interests without the written consent of all other Members. For avoidance of doubt, transfer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Membership Interest means transfer of the Member’s rights to receive tax allocations and distributions.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assignee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Membership Interest shall not have the right to participate in the management and affairs of the Company,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or to exercise any rights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unless and until admitted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in accordance with the provisions of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Lifetime Transfers.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Member who wishes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Transfer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Prohibited Transfer, as defined below,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Company and to each Member of the proposed transfer. The notice shall include the name, address, and business or occupation of the proposed buyer, and such other information about the proposed buyer as the Company and/or the Members may reasonably request, and the proposed purchase price (“</w:t>
      </w:r>
      <w:r>
        <w:rPr>
          <w:rFonts w:ascii="Times New Roman" w:hAnsi="Times New Roman" w:eastAsia="Times New Roman" w:cs="Times New Roman"/>
          <w:b/>
          <w:sz w:val="24"/>
        </w:rPr>
        <w:t>Proposed Price</w:t>
      </w:r>
      <w:r>
        <w:rPr>
          <w:rFonts w:ascii="Times New Roman" w:hAnsi="Times New Roman" w:eastAsia="Times New Roman" w:cs="Times New Roman"/>
          <w:b w:val="0"/>
          <w:sz w:val="24"/>
        </w:rPr>
        <w:t>”) and payment terms (“</w:t>
      </w:r>
      <w:r>
        <w:rPr>
          <w:rFonts w:ascii="Times New Roman" w:hAnsi="Times New Roman" w:eastAsia="Times New Roman" w:cs="Times New Roman"/>
          <w:b/>
          <w:sz w:val="24"/>
        </w:rPr>
        <w:t>Proposed Payment Terms</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sell the Membership Interest to the Company and to the other Members for the Proposed Price and on the Proposed Payment Terms.</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shall have 30 days from delivery of such notice in which to elect to buy all or any of the Membership Interests for the Proposed Price and on the Proposed Payment Terms. If the Company elects not to buy all of the Membership Interest within the 30-day option period, the other Members shall have 30 days from the expiration of the Company’s option period in which to elect to buy all, but not less than all, of the Membership Interests that the Company elected not to buy. The other Members may elect to buy the Membership Interests in proportion to their Percentage Interests (excluding the offered Membership Interest) or in any other agreed on proportion.</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Company and the other Members do not, in the aggregate, agree to buy all of the Membership Interests within the option periods, the voluntary lifetime transfer may be completed.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60 days after the expiration of the option periods, the provisions of this Agreement shall again apply to such Membership Interest as if no such voluntary lifetime transfer had been contemplated and no notice had been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considered consummated when the Company has been given notice that legal title to the Membership Interest has been transferred, subject only to the transfer being recorded on the Company’s books.</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following transfers are deemed “Permitted Transfers” and, as such, shall not require further consent of the Members and shall not be subject to the purchase options described in this paragraph:</w:t>
      </w:r>
    </w:p>
    <w:p>
      <w:pPr>
        <w:keepNext w:val="0"/>
        <w:spacing w:before="120" w:after="0" w:line="260" w:lineRule="exact"/>
        <w:ind w:left="2160" w:right="0" w:firstLine="0"/>
        <w:jc w:val="left"/>
      </w:pPr>
      <w:r>
        <w:rPr>
          <w:rFonts w:ascii="Times New Roman" w:hAnsi="Times New Roman" w:eastAsia="Times New Roman" w:cs="Times New Roman"/>
          <w:b w:val="0"/>
          <w:sz w:val="24"/>
        </w:rPr>
        <w:t>(i)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Transfer to any Member of the Company,</w:t>
      </w:r>
    </w:p>
    <w:p>
      <w:pPr>
        <w:keepNext w:val="0"/>
        <w:spacing w:before="120" w:after="0" w:line="260" w:lineRule="exact"/>
        <w:ind w:left="2160" w:right="0" w:firstLine="0"/>
        <w:jc w:val="left"/>
      </w:pPr>
      <w:r>
        <w:rPr>
          <w:rFonts w:ascii="Times New Roman" w:hAnsi="Times New Roman" w:eastAsia="Times New Roman" w:cs="Times New Roman"/>
          <w:b w:val="0"/>
          <w:sz w:val="24"/>
        </w:rPr>
        <w:t>(ii)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Transfer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spouse, lineal descendant, brother, or sister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trust for any such person;</w:t>
      </w:r>
    </w:p>
    <w:p>
      <w:pPr>
        <w:keepNext w:val="0"/>
        <w:spacing w:before="120" w:after="0" w:line="260" w:lineRule="exact"/>
        <w:ind w:left="2160" w:right="0" w:firstLine="0"/>
        <w:jc w:val="left"/>
      </w:pPr>
      <w:r>
        <w:rPr>
          <w:rFonts w:ascii="Times New Roman" w:hAnsi="Times New Roman" w:eastAsia="Times New Roman" w:cs="Times New Roman"/>
          <w:b w:val="0"/>
          <w:sz w:val="24"/>
        </w:rPr>
        <w:t>(iii)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Transfer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in which the Member is the sole beneficiary.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following transfers are deemed “Prohibited Transfers” and, as such, shall not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sell Membership Interests to the Company or to the other Members as provided in this Section and will not be permitted without unanimous consent of all Members.</w:t>
      </w:r>
    </w:p>
    <w:p>
      <w:pPr>
        <w:keepNext w:val="0"/>
        <w:spacing w:before="120" w:after="0" w:line="260" w:lineRule="exact"/>
        <w:ind w:left="2160" w:right="0" w:firstLine="0"/>
        <w:jc w:val="left"/>
      </w:pPr>
      <w:r>
        <w:rPr>
          <w:rFonts w:ascii="Times New Roman" w:hAnsi="Times New Roman" w:eastAsia="Times New Roman" w:cs="Times New Roman"/>
          <w:b w:val="0"/>
          <w:sz w:val="24"/>
        </w:rPr>
        <w:t>(i)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Pledge of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 or any creditor for security purposes,</w:t>
      </w:r>
    </w:p>
    <w:p>
      <w:pPr>
        <w:keepNext w:val="0"/>
        <w:spacing w:before="120" w:after="0" w:line="260" w:lineRule="exact"/>
        <w:ind w:left="2160" w:right="0" w:firstLine="0"/>
        <w:jc w:val="left"/>
      </w:pPr>
      <w:r>
        <w:rPr>
          <w:rFonts w:ascii="Times New Roman" w:hAnsi="Times New Roman" w:eastAsia="Times New Roman" w:cs="Times New Roman"/>
          <w:b w:val="0"/>
          <w:sz w:val="24"/>
        </w:rPr>
        <w:t>(ii)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Transfer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engaged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competitive with Company’s business,</w:t>
      </w:r>
    </w:p>
    <w:p>
      <w:pPr>
        <w:keepNext w:val="0"/>
        <w:spacing w:before="120" w:after="0" w:line="260" w:lineRule="exact"/>
        <w:ind w:left="1440" w:right="0" w:firstLine="0"/>
        <w:jc w:val="left"/>
      </w:pP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Involuntary Lifetime Transfers.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Any Member who has information that would reasonably lead the Member to expect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foreseeable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Company and to the other Members. The notice shall include the name, address, and business or occupation of the proposed acquirer, the nature of the acquisition, and such other information about the proposed acquirer and the proposed acquisition as the Company and/or Members may reasonably request.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the Company and to the other Members to sell the Membership Interest subject to the involuntary lifetime transfer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equal to [State option price or formula for determining option price, e.g., the lesser of the balance of the Member’s Capital Account or fair value.]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will have 30 days from delivery of such notice in which to elect to buy all or any part of the Membership Interests subject to the involuntary transfer for the purchase price reflected in subsection </w:t>
      </w:r>
      <w:r>
        <w:rPr>
          <w:rFonts w:ascii="Times New Roman" w:hAnsi="Times New Roman" w:eastAsia="Times New Roman" w:cs="Times New Roman"/>
          <w:b w:val="0"/>
          <w:sz w:val="24"/>
        </w:rPr>
        <w:t>(b)</w:t>
      </w:r>
      <w:r>
        <w:rPr>
          <w:rFonts w:ascii="Times New Roman" w:hAnsi="Times New Roman" w:eastAsia="Times New Roman" w:cs="Times New Roman"/>
          <w:b w:val="0"/>
          <w:sz w:val="24"/>
        </w:rPr>
        <w:t>. If the Company elects not to buy all of the Membership Interests within the 30-day option period, the other Members will have 30 days from the expiration of the Company’s option period in which to elect to buy all, but not less than all, of the Membership Interest that the Company elected not to buy. The other Members may elect to buy the Membership Interest in proportion to their Percentage Interests (excluding the offered Membership Interest) or in any other agreed on proportion.</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Closing on the purchase shall occur no later than 90 days following delivery of the notice described in subsection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above. The purchase price shall be payable in good and immediate funds at closing, unless otherwise agreed by the parties.</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Company and the other Members do not, in the aggregate, agree to buy all of the Membership Interest within the option periods, the involuntary lifetime transfer may be completed. 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not consummated within 60 days after the expiration of the option periods, the offer procedures shall be repeated as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notice were delivered.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considered consummated when the Company has been given notice that legal title to the Membership Interest has been transferred, subject only to the transfer being recorded on the books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Nothing in this provision is intended to supersede or affect Texas Business Organizations Code § 101.112 (which provides, in part,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charging order is the exclusive remedy by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creditor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 any other owner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membership interest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may satisfy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out of the judgment debtor’s membership interest) or similar legislation that limits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creditor’s rights or remedies against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limited liability company.</w:t>
      </w:r>
    </w:p>
    <w:p>
      <w:pPr>
        <w:keepNext w:val="0"/>
        <w:spacing w:before="120" w:after="0" w:line="260" w:lineRule="exact"/>
        <w:ind w:left="1440" w:right="0" w:firstLine="0"/>
        <w:jc w:val="left"/>
      </w:pP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Member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Unless the transfer of Membership Interests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Transfer as provided elsewhere in this Agreement, the death of any Member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deceased Member to sell all of his or her Membership Interest to the Company and to the other Members as provided herein.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purchase price shall be calculated as [State option price or formula or valuation method for determining option price, e.g., fair value of Membership as the time of the Member’s death, multiple of EBITDA, etc.].</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60-day period to accept the offer, beginning on the date of the Member’s death. The Company may exercise its purchase right in whole or in part.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Company does not accept the offer with respect to all of the subject interests, the offer shall be extended to the Members, and each Member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30-day period to accept the offer to buy the remaining interests, beginning upon expiration of the Member’s option period. The Members shall exercise their purchase right in proportionate to their ownership interest in the Company or in such other proportion as they may agree upon.</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Acceptance shall be effective upon delivery of written notice.</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Closing on the purchase shall occur no later than 60 days following expiration of the last option period. The purchase price shall be payable [Describe payment terms, taking into account available life insurance proceeds, e.g., in good and immediate funds at closing or, at the buyer’s election, the purchase price may be paid as follows: (i)(</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 the extent that the buyer is the beneficiary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insurance policy payable on the life of the deceased Member, the proceeds of the life insurance policy shall be paid at closing, or (B) to the extent that the buyer is not the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life insurance policy payable on the life of the deceased Member, at least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connection with the purchase, the Company will use commercially reasonable efforts to secure the release of any personal guaranties given by the deceased Member to secure Company debt or for any Company-related reason. To the extent that such personal guaranties are not released, the Company shall defend, indemnify, and hold harmless the Member from any against all such liabilities and attorneys’ fees and costs.</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Company and/or the Members fail or decline to purchase all of the deceased Member’s Shares during the option periods stated herein, then this purchase option shall be deemed to have expired, and the subject interests may be transferred in accordance with applicable laws of descent and distribution.</w:t>
      </w:r>
    </w:p>
    <w:p>
      <w:pPr>
        <w:keepNext w:val="0"/>
        <w:spacing w:before="120" w:after="0" w:line="260" w:lineRule="exact"/>
        <w:ind w:left="1440" w:right="0" w:firstLine="0"/>
        <w:jc w:val="left"/>
      </w:pP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Services.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parties have determined it to be in the Company’s best interests to limit Company ownership to natural persons who provide valuable services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Services-Member</w:t>
      </w:r>
      <w:r>
        <w:rPr>
          <w:rFonts w:ascii="Times New Roman" w:hAnsi="Times New Roman" w:eastAsia="Times New Roman" w:cs="Times New Roman"/>
          <w:b w:val="0"/>
          <w:sz w:val="24"/>
        </w:rPr>
        <w:t xml:space="preserve">”). Therefore, it is agreed that termination of any Services-Member’s services for any reason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Services-Member to sell all of his or her Membership Interest as provided herein.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services are terminated on account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death or retirement, then the terms of this Agreement relating to the death or retirement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shall apply to determine the purchase price. If services are terminated for any other reason, the purchase price shall be calculated as [State Purchase Price, e.g., the value of member equity, determined in accordance with generally accepted accounting principles, multiplied by the departing Member’s percentage of ownership, or consider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higher valuation in the event of termination on account of disability and/or lower valuation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 cause” termination.]</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60-day period to accept the offer, beginning on the date of termination of the Member’s services. The Company may exercise its purchase right in whole or in part.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Company does not accept the offer with respect to all of the subject Membership Interests, the offer shall be extended to the Members, and each Member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30-day period to accept the offer to buy the remaining Membership Interests, beginning upon expiration of the Company’s option period. The Members shall exercise their purchase right in proportionate to their percentage of ownership in the Company or in such other proportion as they may agree upon.</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Exercise of the option shall be effective upon delivery of written notice.</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Closing on the purchase shall occur no later than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connection with the purchase, the Company will use commercially reasonable efforts to secure the release of any personal guaranties given by the departing Member to secure Company debt or for any Company-related reason. To the extent that such personal guaranties are not released, the Company shall defend, indemnify, and hold harmless the Member from any against all such liabilities and attorneys’ fees and costs.</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Nothing in this Agreement imposes any obligation on the Company to engage any Member to perform services.</w:t>
      </w:r>
    </w:p>
    <w:p>
      <w:pPr>
        <w:keepNext w:val="0"/>
        <w:spacing w:before="120" w:after="0" w:line="260" w:lineRule="exact"/>
        <w:ind w:left="1440" w:right="0" w:firstLine="0"/>
        <w:jc w:val="left"/>
      </w:pPr>
      <w:r>
        <w:rPr>
          <w:rFonts w:ascii="Times New Roman" w:hAnsi="Times New Roman" w:eastAsia="Times New Roman" w:cs="Times New Roman"/>
          <w:b w:val="0"/>
          <w:sz w:val="24"/>
        </w:rPr>
        <w:t>6.6.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Attainment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Certain Age.</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parties have determined it to be in the Company’s best interests to restrict Company ownership to natural persons who have not yet attained the age of 65. Therefore, it is agreed that attainment of the age of 65 by any Member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Member to sell all of his or her Membership Interest to the Company and to the other Members as provided herein.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purchase price shall be calculated as [State Purchase Price, e.g., multiple of EBITDA multiplied by the percentage of ownership in the Company held by the retiring Member at the time the Member turned 65.]</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Company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60-day period to accept the offer, beginning on the date the Member achieves the age of 65. The Company may exercise its purchase right in whole or in part.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Company does not accept the offer with respect to all of the subject Membership Interests, the offer shall be extended to the Members, and each Member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30-day period to accept the offer to buy the remaining Membership Interests, beginning upon expiration of the Company’s option period. The Members shall exercise their purchase right in proportionate to their percentage of ownership in the Company or in such other proportion as they may agree upon.</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Exercise of the option shall be effective upon delivery of written notice.</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Closing on the purchase shall occur no later than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connection with the purchase, the Company will use commercially reasonable efforts to secure the release of any personal guaranties given by the retiring Member to secure Company debt or for any Company-related reason. To the extent that such personal guaranties are not released, the Company shall defend, indemnify, and hold harmless the Member from any against all such liabilities and attorneys’ fees and costs.</w:t>
      </w:r>
    </w:p>
    <w:p>
      <w:pPr>
        <w:keepNext w:val="0"/>
        <w:spacing w:before="120" w:after="0" w:line="260" w:lineRule="exact"/>
        <w:ind w:left="1440" w:right="0" w:firstLine="0"/>
        <w:jc w:val="left"/>
      </w:pPr>
      <w:r>
        <w:rPr>
          <w:rFonts w:ascii="Times New Roman" w:hAnsi="Times New Roman" w:eastAsia="Times New Roman" w:cs="Times New Roman"/>
          <w:b w:val="0"/>
          <w:sz w:val="24"/>
        </w:rPr>
        <w:t>6.7.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marriage terminates by divorce and the divorce decree orders the division, transfer or assignment of any Membership Interest to the Member’s former spouse, such Member shall have the right and option to purchase the Membership Interest from his or her former spouse as provided herein.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purchase price shall be [State Purchase Price, e.g., the value of member equity, determined in accordance with generally accepted accounting principles, multiplied by the percentage of ownership subject to the transfer.]</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divorcing Member shall have 60 days from date of the divorce decree or property settlement order, as applicable, in which to elect to buy all or any of the Membership Interests.</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Should the divorcing Member fail to exercise such option within such 60-day period, then the Company shall have 30 days from the expiration of the Member’s option period in which to elect to buy all or any of the Membership Interest.</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Company elects not to buy all of the Membership Interest within the option period, the other Members shall have 30 days from the expiration of the Company’s option period in which to elect to buy all, but not less than all, of the Membership Interest that the Company did not elect to buy. The other Members may elect to buy the Membership Interest in proportion to their positive Capital Account balances (excluding the offered Membership Interest) or in any other agreed on proportion.</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Exercise of the option shall be effective upon delivery of written notice.</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Closing on the purchase shall occur no later than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connection with the purchase, the Company will use commercially reasonable efforts to secure the release of any personal guaranties given by the retiring Member to secure Company debt or for any Company-related reason. To the extent that such personal guaranties are not released, the Company shall defend, indemnify, and hold harmless the Member from any against all such liabilities and attorneys’ fees and costs.</w:t>
      </w:r>
    </w:p>
    <w:p>
      <w:pPr>
        <w:keepNext w:val="0"/>
        <w:spacing w:before="120" w:after="0" w:line="260" w:lineRule="exact"/>
        <w:ind w:left="1440" w:right="0" w:firstLine="0"/>
        <w:jc w:val="left"/>
      </w:pPr>
      <w:r>
        <w:rPr>
          <w:rFonts w:ascii="Times New Roman" w:hAnsi="Times New Roman" w:eastAsia="Times New Roman" w:cs="Times New Roman"/>
          <w:b w:val="0"/>
          <w:sz w:val="24"/>
        </w:rPr>
        <w:t>6.8.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Drag-Along Rights.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Majority-in-Interest of the Members (for purposes of this Section, the “Controlling Member”)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Controlling Interest in the Company which the Controlling Member desire to accept, but such offer is contingent on the buyer’s right to purchase all of the Membership Interests, the following provisions apply:</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Controlling Member shall promptly deliver written notice of the Bona Fide Offer to the remaining Members, which notice shall be accompanied by: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Bona Fide Offer,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that the Controlling Member intends to accept the Bona Fide Offer, and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demand that the remaining Members join the Controlling Member in selling their Membership Interests according to the same price calculation and on the same terms and conditions as the Controlling Member.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other Members shall have 30 days from the notice in which to elect to buy all (but not less than all) of the Controlling Member’s Membership Interests according to the price formula stated in the Bona Fide Offer. The remaining Members may elect to buy such Membership Interests in proportion to their percentage of ownership in the Company (excluding the Controlling Member’s percentage of ownership), or in such other proportion as they shall agree upon.</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remaining Members do not, in the aggregate, agree to buy all of the Controlling Member’s Membership Interests, the Controlling Members may sell the Membership Interests pursuant to the terms of the Bona Fide Offer. In such event, the buyer shall have the right and option to buy the remaining Members’ Membership Interests, and the remaining Members shall be obligated to sell their Membership Interests to such buyer, as part of the same sale transaction, for the same price and on the same terms contained in the Bona Fide Offer.</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connection with any such sale made pursuant to the terms and conditions of the Bona Fide Offer, each of the remaining Members shall execute such agreements and other documents as required of the Controlling Member regarding such sale.</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For purposes of this provision and any associated Tag-Along Rights, “Bona Fide Offer”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offer to buy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Membership Interest, that is made (i)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unrelated third party who is ready, able, and willing to close on the purchase, and (ii) is not subject to any finance contingencies or installment payments.</w:t>
      </w:r>
    </w:p>
    <w:p>
      <w:pPr>
        <w:keepNext w:val="0"/>
        <w:spacing w:before="120" w:after="0" w:line="260" w:lineRule="exact"/>
        <w:ind w:left="1440" w:right="0" w:firstLine="0"/>
        <w:jc w:val="left"/>
      </w:pPr>
      <w:r>
        <w:rPr>
          <w:rFonts w:ascii="Times New Roman" w:hAnsi="Times New Roman" w:eastAsia="Times New Roman" w:cs="Times New Roman"/>
          <w:b w:val="0"/>
          <w:sz w:val="24"/>
        </w:rPr>
        <w:t>6.9.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Tag-Along Rights.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Controlling Member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Controlling Interest in the Company which the Controlling Member desires to accept, and the remaining Members elect not to purchase the subject interests as provided in the section concerning Drag-Along Rights, above, the following provisions apply:</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remaining Members shall have 30 days after delivery of the Bona Fide Offer to notify the Controlling Member that they (or any of them) wish to include their respective Membership Interests in the sale to the offeror. If any Member fails to give notice within this 30-day period, then such Member waives the tag-along rights provided in this subsection.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Immediately upon receipt of such notice, the Controlling Member shall advise the proposed buyer of such and, on behalf of himself or herself and the remaining Members, offer to sell to the proposed buyer the additional interests according to the same price calculation and on the same payment terms contained in the Bona Fide Offer.</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Should the proposed buyer agree to purchase all of the additional interests, such sale shall be made pursuant to the terms and conditions of the Bona Fide Offer as if the Bona Fide Offer was made to, and accepted by, the Controlling Member and the additional selling Members, unless mutually agreed otherwise. In connection with any such sale made pursuant to the terms and conditions of the Bona Fide Offer, each of the remaining Members shall execute such agreements and other documents as required of the Controlling Member regarding such sale.</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Should the proposed buyer decline to purchase all of the additional interests, then no Member shall be permitted to sell Membership Interests to the proposed buyer without first repeating the applicable procedures set forth in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6.10.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 “Put” Rights.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parties acknowledge and agree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may justifiably wish to divest himself or herself of all Company ownership and that, in these situations, the Company should be required to purchase the Member’s interests. Therefore, any Member may at any time offer all (but not less than all) of his or her Membership Interest to the Company as provided herein.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purchase price [State Purchase Price, e.g., the value of member equity, determined in accordance with generally accepted accounting principles, multiplied by the percentage of ownership subject to the purchase.]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Exercise of the option shall be exercised by delivery of written notice to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Closing on the purchase shall occur no later than 120 days following delivery of the exercise notice.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connection with the purchase, the Company will use commercially reasonable efforts to secure the release of any personal guaranties given by the retiring Member to secure Company debt or for any Company-related reason. To the extent that such personal guaranties are not released, the Company shall defend, indemnify, and hold harmless the Member from any against all such liabilities and attorneys’ fees and costs.</w:t>
      </w:r>
    </w:p>
    <w:p>
      <w:pPr>
        <w:keepNext w:val="0"/>
        <w:spacing w:before="120" w:after="0" w:line="260" w:lineRule="exact"/>
        <w:ind w:left="1440" w:right="0" w:firstLine="0"/>
        <w:jc w:val="left"/>
      </w:pPr>
      <w:r>
        <w:rPr>
          <w:rFonts w:ascii="Times New Roman" w:hAnsi="Times New Roman" w:eastAsia="Times New Roman" w:cs="Times New Roman"/>
          <w:b w:val="0"/>
          <w:sz w:val="24"/>
        </w:rPr>
        <w:t>6.11.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“Call” Rights.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parties acknowledge and agree that circumstances may arise under which the interests of the Company and its Members shall be best served if the Company can buy the interests of one or more Members. Therefore, the Company may require any Member to sell to the Company all (but not less than all) of his or her Membership Interest for the Agreed Price and on the Agreed Terms.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purchase price [State Purchase Price, e.g., the value of member equity, determined in accordance with generally accepted accounting principles, multiplied by the percentage of ownership subject to the purchase.]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Exercise of the option shall be exercised by delivery of written notice to the Member.</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Closing on the purchase shall occur no later than 60 days following delivery of the exercise notice.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connection with the purchase, the Company will use commercially reasonable efforts to secure the release of any personal guaranties given by the retiring Member to secure Company debt or for any Company-related reason. To the extent that such personal guaranties are not released, the Company shall defend, indemnify, and hold harmless the Member from any against all such liabilities and attorneys’ fees and costs.</w:t>
      </w:r>
    </w:p>
    <w:p>
      <w:pPr>
        <w:keepNext w:val="0"/>
        <w:spacing w:before="120" w:after="0" w:line="260" w:lineRule="exact"/>
        <w:ind w:left="1440" w:right="0" w:firstLine="0"/>
        <w:jc w:val="left"/>
      </w:pPr>
      <w:r>
        <w:rPr>
          <w:rFonts w:ascii="Times New Roman" w:hAnsi="Times New Roman" w:eastAsia="Times New Roman" w:cs="Times New Roman"/>
          <w:b w:val="0"/>
          <w:sz w:val="24"/>
        </w:rPr>
        <w:t>6.12.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Partial Year Allocations.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Membership Interest is transferred during the Company’s tax year, all items of income, gain, loss, deduction, and credit allocable to any Membership Interest so transferred shall be allocated between the transferor and the transferee based on the portion of the calendar year during which each was recognized as owning that Membership Interest, without regard to the results of Company operations during any particular portion of that calendar year and without regard to whether cash distributions were made to the transferor or the transferee during that calendar year; provided, however, that this allocation must be made in accordance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method permissible under Section 706 of the Internal Revenue Code and the regulations thereunder.</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AND INSURANCE</w:t>
      </w:r>
    </w:p>
    <w:p>
      <w:pPr>
        <w:keepNext w:val="0"/>
        <w:spacing w:before="120" w:after="0" w:line="260" w:lineRule="exact"/>
        <w:ind w:left="144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Right to Indemnification.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the limitations and conditions as provided in this Article, each person who was or is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is threatened to be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or is involved in any legal or administrative proceeding, or any appeal in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proceeding, or any inquiry or investigation that could lead to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proceeding, by reason of the fact that he or she,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of whom he or she is the legal representative, is or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or while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is or was serving at the request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 director, officer, partner, venturer, proprietor, trustee, employee, agent, or similar functionary of another foreign or domestic limited liability company, corporation, partnership, joint venture, sole proprietorship, trust, employee benefit plan or other enterprise shall be indemnified by the Company to the fullest extent permitted by the TBOC, as the same exists or may hereafter be amended (but, in the case of any such amendment, only to the extent that such amendment permits the Company to provide broader indemnification rights than said law permitted the Company to provide prior to such amendment) against judgments, penalties (including excise and similar taxes and punitive damages), fines, settlements and reasonable expenses (including, without limitation, attorney's fees) actually incurred by such person in connection with such proceeding, and indemnification under this Article shall continue as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has ceased to serve in the capacity which initially entitled such person to indemnity hereunder. The rights granted pursuant to this Article shall be deemed contract rights, and no amendments, modification or repeal of this Article shall have the effect of limiting or denying any such rights with respect to actions taken or proceeding arising prior to any such amendment, modification or repeal. It is expressly acknowledged that the indemnification provided in this Article could involve indemnification for negligence or under theories of strict liability.</w:t>
      </w:r>
    </w:p>
    <w:p>
      <w:pPr>
        <w:keepNext w:val="0"/>
        <w:spacing w:before="120" w:after="0" w:line="260" w:lineRule="exact"/>
        <w:ind w:left="144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may purchase and maintain insurance, at its expense, to protect itself and any person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or was serving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officer, employee or agent of the Company or is or was serving at the request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director, officer, partner, venturer, proprietor, trustee, employee, agent or similar functionary of another foreign or domestic limited liability company, corporation, partnership, joint venture, sole proprietorship, trust, employee benefit plan or other enterprise against any expense, liability or loss, whether or not the Company would have the power to indemnify such person against such expense, liability or loss under this Article.</w:t>
      </w:r>
    </w:p>
    <w:p>
      <w:pPr>
        <w:keepNext w:val="0"/>
        <w:spacing w:before="120" w:after="0" w:line="260" w:lineRule="exact"/>
        <w:ind w:left="144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 Notification.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the extent required by law, any indemnification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in accordance with this Article shall be reported in writing to the Members with or before the notice or waiver of notice of the next Members' meeting or with or before the next submission to Members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consent to action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 in any case, within the 12-month period immediately following the date of the indemnification or advance.</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WINDING UP</w:t>
      </w:r>
    </w:p>
    <w:p>
      <w:pPr>
        <w:keepNext w:val="0"/>
        <w:spacing w:before="120" w:after="0" w:line="260" w:lineRule="exact"/>
        <w:ind w:left="144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Winding Up.</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Company shall begin to wind up its affairs upon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requiring winding up, pursuant to Section 11.051 of the TBOC or successor legislation.</w:t>
      </w:r>
    </w:p>
    <w:p>
      <w:pPr>
        <w:keepNext w:val="0"/>
        <w:spacing w:before="120" w:after="0" w:line="260" w:lineRule="exact"/>
        <w:ind w:left="144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Liquidation.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As soon as is practicable following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requiring winding up of the Company, the Company shall sell or otherwise liquidate all of its remaining assets. The Members and officers of the Company, if any, shall have the right to take into account the market conditions that may exist from time to time in determining when the sale or other liquidation of assets of the Company is practicable. As promptly as practicable, the Company shall pay or make adequate provision for the payment of all known debts, obligations, or liabilities of the Company. As promptly as practicable after the payment of all known debts, obligations, or liabilities of the Company (or the provision for such payment is made), the remaining assets of the Company, if any, shall be distributed to the Members.</w:t>
      </w:r>
    </w:p>
    <w:p>
      <w:pPr>
        <w:keepNext w:val="0"/>
        <w:spacing w:before="120" w:after="0" w:line="260" w:lineRule="exact"/>
        <w:ind w:left="108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120" w:after="0" w:line="260" w:lineRule="exact"/>
        <w:ind w:left="1440" w:right="0" w:firstLine="0"/>
        <w:jc w:val="left"/>
      </w:pPr>
      <w:r>
        <w:rPr>
          <w:rFonts w:ascii="Times New Roman" w:hAnsi="Times New Roman" w:eastAsia="Times New Roman" w:cs="Times New Roman"/>
          <w:b w:val="0"/>
          <w:sz w:val="24"/>
        </w:rPr>
        <w:t>9.1.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Except as expressly set forth to the contrary in this Agreement, all notices, requests, or consents provided for or permitted to be given under this Agreement must be in writing and must be given either by depositing that writing in the United States mail, addressed to the recipient, postage paid, and registered or certified with return receipt requested or by delivering that writing to the recipient in person, by courier, or by facsimile transmission;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request, or consent given under this Agreement is effective on receipt by the person. All notices, requests, and consents to be 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must be sent to or made at the addresses given for that Member on </w:t>
      </w: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 such other address as that Member may specify by notice to the other Members.</w:t>
      </w:r>
    </w:p>
    <w:p>
      <w:pPr>
        <w:keepNext w:val="0"/>
        <w:spacing w:before="120" w:after="0" w:line="260" w:lineRule="exact"/>
        <w:ind w:left="108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w:t>
      </w:r>
    </w:p>
    <w:p>
      <w:pPr>
        <w:keepNext w:val="0"/>
        <w:spacing w:before="120" w:after="0" w:line="260" w:lineRule="exact"/>
        <w:ind w:left="1440" w:right="0" w:firstLine="0"/>
        <w:jc w:val="left"/>
      </w:pPr>
      <w:r>
        <w:rPr>
          <w:rFonts w:ascii="Times New Roman" w:hAnsi="Times New Roman" w:eastAsia="Times New Roman" w:cs="Times New Roman"/>
          <w:b w:val="0"/>
          <w:sz w:val="24"/>
        </w:rPr>
        <w:t>10.1.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Whenever the context requires, the gender of all words used in this Agreement includes the masculine, feminine, and neuter. The Article headings appearing in this Agreement are for convenience of reference only and are not intended, to any extent or for any purpose, to limit or define the text of any Article or Section.</w:t>
      </w:r>
    </w:p>
    <w:p>
      <w:pPr>
        <w:keepNext w:val="0"/>
        <w:spacing w:before="120" w:after="0" w:line="260" w:lineRule="exact"/>
        <w:ind w:left="1440" w:right="0" w:firstLine="0"/>
        <w:jc w:val="left"/>
      </w:pPr>
      <w:r>
        <w:rPr>
          <w:rFonts w:ascii="Times New Roman" w:hAnsi="Times New Roman" w:eastAsia="Times New Roman" w:cs="Times New Roman"/>
          <w:b w:val="0"/>
          <w:sz w:val="24"/>
        </w:rPr>
        <w:t>10.2.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constitutes the entire agreement between and among the Members and the Company. Any and all prior discussions, negotiations, communications, and understandings are hereby consolidated into this Agreement and this Agreement supersedes any and all prior discussions, negotiations, communications, and understandings whether written or oral.</w:t>
      </w:r>
    </w:p>
    <w:p>
      <w:pPr>
        <w:keepNext w:val="0"/>
        <w:spacing w:before="120" w:after="0" w:line="260" w:lineRule="exact"/>
        <w:ind w:left="1440" w:right="0" w:firstLine="0"/>
        <w:jc w:val="left"/>
      </w:pP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may be amended or modified only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instrument executed by all Members and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10.4.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Subject to the restrictions on transfers set forth in this Agreement, this Agreement is binding on and inure to the benefit of the Members and their heirs, legal representatives, successors, and assigns.</w:t>
      </w:r>
    </w:p>
    <w:p>
      <w:pPr>
        <w:keepNext w:val="0"/>
        <w:spacing w:before="120" w:after="0" w:line="260" w:lineRule="exact"/>
        <w:ind w:left="1440" w:right="0" w:firstLine="0"/>
        <w:jc w:val="left"/>
      </w:pPr>
      <w:r>
        <w:rPr>
          <w:rFonts w:ascii="Times New Roman" w:hAnsi="Times New Roman" w:eastAsia="Times New Roman" w:cs="Times New Roman"/>
          <w:b w:val="0"/>
          <w:sz w:val="24"/>
        </w:rPr>
        <w:t>10.5.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any provision of this Agreement or the application thereof to any person or circumstance is held invalid or unenforceable to any extent, the remainder of this Agreement and the application of that provision to other persons or circumstances is not affected thereby and that provision shall be enforced to the greatest extent permitted by law.</w:t>
      </w:r>
    </w:p>
    <w:p>
      <w:pPr>
        <w:keepNext w:val="0"/>
        <w:spacing w:before="120" w:after="0" w:line="260" w:lineRule="exact"/>
        <w:ind w:left="1440" w:right="0" w:firstLine="0"/>
        <w:jc w:val="left"/>
      </w:pPr>
      <w:r>
        <w:rPr>
          <w:rFonts w:ascii="Times New Roman" w:hAnsi="Times New Roman" w:eastAsia="Times New Roman" w:cs="Times New Roman"/>
          <w:b w:val="0"/>
          <w:sz w:val="24"/>
        </w:rPr>
        <w:t>10.6.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Inconsistent Acts; Further Assurances.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Members intend the Company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under the TBOC. No Member shall take any action inconsistent with the express intent of the parties to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connection with this Agreement and the transactions contemplated hereby, each Member shall execute and deliver any additional documents and instruments and perform any additional acts that may be necessary or appropriate to effectuate and perform the provisions of this Agreement and those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10.7.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may be executed in any number of counterparts with the same effect as if all signing parties had signed the same instrument.</w:t>
      </w:r>
    </w:p>
    <w:p>
      <w:pPr>
        <w:keepNext w:val="0"/>
        <w:spacing w:before="120" w:after="0" w:line="260" w:lineRule="exact"/>
        <w:ind w:left="1440" w:right="0" w:firstLine="0"/>
        <w:jc w:val="left"/>
      </w:pPr>
      <w:r>
        <w:rPr>
          <w:rFonts w:ascii="Times New Roman" w:hAnsi="Times New Roman" w:eastAsia="Times New Roman" w:cs="Times New Roman"/>
          <w:b w:val="0"/>
          <w:sz w:val="24"/>
        </w:rPr>
        <w:t>10.8.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AGREEMENT IS GOVERNED BY AND SHALL BE CONSTRUED IN ACCORDANCE WITH THE LAW OF THE STATE OF TEXAS, EXCLUDING ANY CONFLICT-OF-LAWS RULE OR PRINCIPLE THAT MIGHT REFER THE GOVERNANCE OR THE CONSTRUCTION OF THIS AGREEMENT TO THE LAW OF ANOTHER JURISDICTION.</w:t>
      </w:r>
    </w:p>
    <w:p>
      <w:pPr>
        <w:keepNext w:val="0"/>
        <w:spacing w:before="120" w:after="0" w:line="260" w:lineRule="exact"/>
        <w:ind w:left="1440" w:right="0" w:firstLine="0"/>
        <w:jc w:val="left"/>
      </w:pPr>
      <w:r>
        <w:rPr>
          <w:rFonts w:ascii="Times New Roman" w:hAnsi="Times New Roman" w:eastAsia="Times New Roman" w:cs="Times New Roman"/>
          <w:b w:val="0"/>
          <w:sz w:val="24"/>
        </w:rPr>
        <w:t>10.9.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Venue.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to this Agreement hereby agree that the courts of [County], Texas shall have exclusive jurisdiction for any and all disputes arising out of this agreement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The parties further agree to waive all questions of personal jurisdiction or venue for the purposes of carrying out this provision.</w:t>
      </w:r>
    </w:p>
    <w:p>
      <w:pPr>
        <w:keepNext w:val="0"/>
        <w:spacing w:before="120" w:after="0" w:line="260" w:lineRule="exact"/>
        <w:ind w:left="1440" w:right="0" w:firstLine="0"/>
        <w:jc w:val="left"/>
      </w:pPr>
      <w:r>
        <w:rPr>
          <w:rFonts w:ascii="Times New Roman" w:hAnsi="Times New Roman" w:eastAsia="Times New Roman" w:cs="Times New Roman"/>
          <w:b w:val="0"/>
          <w:sz w:val="24"/>
        </w:rPr>
        <w:t>10.10.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Jury Waiver.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PARTIES TO THIS AGREEMENT HEREBY AGREE THAT THEY SHALL AND HEREBY DO WAIVE TRIAL BY JURY IN ANY ACTION, PROCEEDING OR COUNTERCLAIM, WHETHER AT LAW OR AT EQUITY, BROUGHT BY ANY OF THEM, OR IN ANY MATTER WHATSOEVER WHICH ARISES OUT OF OR IS CONNECTED IN ANY WAY WITH THIS AGREEMENT OR ITS PERFORMANCE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OR ITS PERFORMANCE.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HEREOF, the Members have adopted and executed this Company Agreement to be effective as of the Effective Date set forth above.</w:t>
      </w:r>
    </w:p>
    <w:p>
      <w:pPr>
        <w:keepNext w:val="0"/>
        <w:spacing w:before="120" w:after="0" w:line="260" w:lineRule="exact"/>
        <w:ind w:left="360" w:right="0" w:firstLine="0"/>
        <w:jc w:val="left"/>
      </w:pPr>
      <w:r>
        <w:rPr>
          <w:rFonts w:ascii="Times New Roman" w:hAnsi="Times New Roman" w:eastAsia="Times New Roman" w:cs="Times New Roman"/>
          <w:b/>
          <w:sz w:val="24"/>
        </w:rPr>
        <w:t>[NAME OF LIMITED LIABILITY COMPANY]</w:t>
      </w:r>
      <w:r>
        <w:rPr>
          <w:rFonts w:ascii="Times New Roman" w:hAnsi="Times New Roman" w:eastAsia="Times New Roman" w:cs="Times New Roman"/>
          <w:sz w:val="24"/>
        </w:rPr>
        <w:br/>
      </w:r>
      <w:r>
        <w:rPr>
          <w:rFonts w:ascii="Times New Roman" w:hAnsi="Times New Roman" w:eastAsia="Times New Roman" w:cs="Times New Roman"/>
          <w:b/>
          <w:sz w:val="24"/>
        </w:rPr>
        <w:t>a</w:t>
      </w:r>
      <w:r>
        <w:rPr>
          <w:rFonts w:ascii="Times New Roman" w:hAnsi="Times New Roman" w:eastAsia="Times New Roman" w:cs="Times New Roman"/>
          <w:b/>
          <w:sz w:val="24"/>
        </w:rPr>
        <w:t xml:space="preserve"> Texas limited liability company</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of Authorized Person]</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sz w:val="24"/>
        </w:rPr>
        <w:t>MEMBERS: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[Name of Member] </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[Name of Member] </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[Name of Member] </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[NAME OF LLC]</w:t>
      </w:r>
      <w:r>
        <w:rPr>
          <w:rFonts w:ascii="Times New Roman" w:hAnsi="Times New Roman" w:eastAsia="Times New Roman" w:cs="Times New Roman"/>
          <w:sz w:val="24"/>
        </w:rPr>
        <w:br/>
      </w:r>
      <w:r>
        <w:rPr>
          <w:rFonts w:ascii="Times New Roman" w:hAnsi="Times New Roman" w:eastAsia="Times New Roman" w:cs="Times New Roman"/>
          <w:b/>
          <w:sz w:val="24"/>
        </w:rPr>
        <w:t>SPOUSAL CONSENT</w:t>
      </w:r>
      <w:r>
        <w:rPr>
          <w:rFonts w:ascii="Times New Roman" w:hAnsi="Times New Roman" w:eastAsia="Times New Roman" w:cs="Times New Roman"/>
          <w:sz w:val="24"/>
        </w:rPr>
        <w:br/>
      </w:r>
      <w:r>
        <w:rPr>
          <w:rFonts w:ascii="Times New Roman" w:hAnsi="Times New Roman" w:eastAsia="Times New Roman" w:cs="Times New Roman"/>
          <w:b/>
          <w:sz w:val="24"/>
        </w:rPr>
        <w:t>TO COMPANY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[NAME OF SPOUSE], being the spouse of [NAME OF MEMBER], the Member of [NAME OF LLC], LLC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the [NAME OF LLC], LLC Company Agreement (the "</w:t>
      </w:r>
      <w:r>
        <w:rPr>
          <w:rFonts w:ascii="Times New Roman" w:hAnsi="Times New Roman" w:eastAsia="Times New Roman" w:cs="Times New Roman"/>
          <w:b/>
          <w:sz w:val="24"/>
        </w:rPr>
        <w:t>Agreement</w:t>
      </w:r>
      <w:r>
        <w:rPr>
          <w:rFonts w:ascii="Times New Roman" w:hAnsi="Times New Roman" w:eastAsia="Times New Roman" w:cs="Times New Roman"/>
          <w:b w:val="0"/>
          <w:sz w:val="24"/>
        </w:rPr>
        <w:t>"), hereby acknowledges that:</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have read the foregoing Agreement in its entirety and understand that:</w:t>
      </w:r>
    </w:p>
    <w:p>
      <w:pPr>
        <w:keepNext w:val="0"/>
        <w:spacing w:before="120" w:after="0" w:line="260" w:lineRule="exact"/>
        <w:ind w:left="144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Upon the occurrence of certain events as specified in the Agreement, the Company, my spouse, and the other Members will have the right to and may be obligated to purchase Membership Interest owned by another Member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and on terms and conditions set forth in the Agreement;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purchase of the Membership Interest of any Member will include his or her entire interest in such Membership Interest and any community property interest and other marital property interest of the spouse of such Member; and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Agreement imposes certain restrictions on any attempts by me to transfer any interest I may have in the Company or any Membership Interest in the Company by virtue of my marriage and confers on my spouse the right and obligation to purchase any interest I may have in the Company or any Membership Interest in the Company upon the occurrence of certain events.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approve and agree to be bound to all of the terms of the Agreement and agree that any interest (community property or otherwise) that I may have in the Company or any Membership Interest in the Company shall be subject to the terms of this spousal consent and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my spouse may join in any future amendments or modifications to the Agreement without any notice to me and without any signature, acknowledgment, agreement or consent on my part.</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agree that I will transfer or bequeath any interest I may have in the Company or any Membership Interest in the Company by my will, outright and free of trust to my spouse.</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acknowledge that I have been advised and have been encouraged to seek independent counsel of my own choosing to represent me in matters regarding the Agreement and my execution of this spousal consent.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Spouse]</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[NAME OF LLC]</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