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Compensation Committee Charter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b/>
          <w:sz w:val="24"/>
        </w:rPr>
        <w:t>PURPOSE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Compensation Committee is appointed annually by the Board of Directors for the purpose of assisting the Board in discharging its responsibilities relating to compensation for the Company’s officers and directors.</w:t>
      </w:r>
    </w:p>
    <w:p>
      <w:pPr>
        <w:keepNext w:val="0"/>
        <w:spacing w:before="120" w:after="0" w:line="260" w:lineRule="exact"/>
        <w:ind w:left="360" w:right="0" w:firstLine="0"/>
        <w:jc w:val="left"/>
      </w:pPr>
      <w:r>
        <w:rPr>
          <w:rFonts w:ascii="Times New Roman" w:hAnsi="Times New Roman" w:eastAsia="Times New Roman" w:cs="Times New Roman"/>
          <w:b/>
          <w:sz w:val="24"/>
        </w:rPr>
        <w:t>MEMBERSHIP</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Committee shall consist of at least three directors. Each member of the Committee shall be independent in accordance with the independence requirements of the Dodd-Frank Wall Street Reform and Consumer Protection Act of 2010 and the applicable rules and regulations promulgated thereunder by the Securities and Exchange Commission (“SEC”), as well as the rules and listing requirements of the stock exchanges on which the Company’s common stock may be listed or approved for quotation.</w:t>
      </w:r>
    </w:p>
    <w:p>
      <w:pPr>
        <w:keepNext w:val="0"/>
        <w:spacing w:before="200" w:after="0" w:line="260" w:lineRule="exact"/>
        <w:ind w:left="720" w:right="0" w:firstLine="0"/>
        <w:jc w:val="both"/>
      </w:pPr>
      <w:r>
        <w:rPr>
          <w:rFonts w:ascii="Times New Roman" w:hAnsi="Times New Roman" w:eastAsia="Times New Roman" w:cs="Times New Roman"/>
          <w:b w:val="0"/>
          <w:sz w:val="24"/>
        </w:rPr>
        <w:t>All Committee members must qualify as "non-employee directors" for the purposes of Rule 16b-3 under the Securities Exchange Act of 1934, as amended. All Committee members must be independent pursuant to [New York Stock Exchange] [and] [ Nasdaq Stock Exchange]] rules.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members of the Committee and the Chairperson shall be appointed by the Board annually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one year or until their successors shall be duly appointed and qualified by the Board of Directors. The Board of Directors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or members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on the Committee that reduces the number of members below three (3), or in the event that the Board determines that the number of Committee should be increased. The Board may remove any member from the Committee at any time with or without cause.</w:t>
      </w:r>
    </w:p>
    <w:p>
      <w:pPr>
        <w:keepNext w:val="0"/>
        <w:spacing w:before="120" w:after="0" w:line="260" w:lineRule="exact"/>
        <w:ind w:left="360" w:right="0" w:firstLine="0"/>
        <w:jc w:val="left"/>
      </w:pPr>
      <w:r>
        <w:rPr>
          <w:rFonts w:ascii="Times New Roman" w:hAnsi="Times New Roman" w:eastAsia="Times New Roman" w:cs="Times New Roman"/>
          <w:b/>
          <w:sz w:val="24"/>
        </w:rPr>
        <w:t>AUTHORITY AND RESPONSIBILITIES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Committee has overall responsibility for evaluating and approving the structure, operation and effectiveness of the Company’s compensation plans, policies and programs for officers and directors, including:</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Approving all employment agreements for the Chairman, the CEO and other executives required to be named in the Company’s proxy statements (collectively, the “Executives”).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Annually reviewing, evaluating and approving corporate goals and objectives relevant to the Chairman’s and the CEO’s compensation, evaluating the Chairman’s and the CEO’s performance in light of those goals and objectives, and determining and approving the CEO’s and Chairman’s compensation based on this evaluation in accordance with their employment agreements, if any. In determining the long-term incentive component of Chairman and CEO compensation, the Compensation Committee will consider the Company’s and the individual’s performance, relative shareholder return, the value of similar incentive awards to Chairmen and CEOs at comparable companies, and awards given in past years, among other factors.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Reviewing annually and approving for the other Executives named in the Company’s proxy statement: (</w:t>
      </w:r>
      <w:r>
        <w:rPr>
          <w:rFonts w:ascii="Times New Roman" w:hAnsi="Times New Roman" w:eastAsia="Times New Roman" w:cs="Times New Roman"/>
          <w:b/>
          <w:sz w:val="24"/>
        </w:rPr>
        <w:t>a</w:t>
      </w:r>
      <w:r>
        <w:rPr>
          <w:rFonts w:ascii="Times New Roman" w:hAnsi="Times New Roman" w:eastAsia="Times New Roman" w:cs="Times New Roman"/>
          <w:b w:val="0"/>
          <w:sz w:val="24"/>
        </w:rPr>
        <w:t>) the annual base salary level, (b) the annual incentive opportunity level, (c) the long-term incentive opportunity level, (d) severance arrangements and change in control agreements/provisions in each case as, when and if appropriate, and (e) special or supplemental benefits all in accordance with their employment agreements, if any.</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Reviewing annually management’s recommendations and make its own recommendations to the Board of Directors with respect to the compensation of all Executives, including all compensation, incentive compensation plans, equity-based plans as well as the individuals or groups of individuals receiving awards under incentive-based compensation plans, such as cash bonuses, and equity-based plans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 term incentive plan.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Approving grants under the Company’s long-term incentive plan for all Executives.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Reviewing the Company's incentive compensation arrangements to determine whether they encourage excessive risk-taking, to review and discuss the relationship between risk management policies and practices and compensation, and to evaluate compensation policies and practices that could mitigate any such risk.</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Making recommendations to the Board regarding director compensation.</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Making regular reports to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required by SEC rules, producing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report on executive compensation stating whether the Committee reviewed the Compensation Discussion and Analysis prepared by management and discussed it with management, and whether, based on such review and discussions, the Committee recommended to the Board that such Compensation Discussion and Analysis be included in the Company’s annual proxy statement and/or annual report on Form 10-K filed with the SEC, as well as any other disclosure required in accordance with applicable laws, rules, regulations and listing standards; and</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Perform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performance evaluation of the Committee.</w:t>
      </w:r>
    </w:p>
    <w:p>
      <w:pPr>
        <w:keepNext w:val="0"/>
        <w:spacing w:before="200" w:after="0" w:line="260" w:lineRule="exact"/>
        <w:ind w:left="720" w:right="0" w:firstLine="0"/>
        <w:jc w:val="both"/>
      </w:pPr>
      <w:r>
        <w:rPr>
          <w:rFonts w:ascii="Times New Roman" w:hAnsi="Times New Roman" w:eastAsia="Times New Roman" w:cs="Times New Roman"/>
          <w:b w:val="0"/>
          <w:sz w:val="24"/>
        </w:rPr>
        <w:t>The Compensation Committee shall also perform such additional duties and have such additional responsibilities and functions as the Board of Directors may from time to time determine.</w:t>
      </w:r>
    </w:p>
    <w:p>
      <w:pPr>
        <w:keepNext w:val="0"/>
        <w:spacing w:before="120" w:after="0" w:line="260" w:lineRule="exact"/>
        <w:ind w:left="360" w:right="0" w:firstLine="0"/>
        <w:jc w:val="left"/>
      </w:pPr>
      <w:r>
        <w:rPr>
          <w:rFonts w:ascii="Times New Roman" w:hAnsi="Times New Roman" w:eastAsia="Times New Roman" w:cs="Times New Roman"/>
          <w:b/>
          <w:sz w:val="24"/>
        </w:rPr>
        <w:t>OUTSIDE ADVISORS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Committee shall have the authority, in its sole discretion, to select, retain and obtain the advice of compensation consultants, legal counsel and other advisers as necessary to assist with the execution of its duties and responsibilities as set forth in this Charter. The Committee shall set the compensation, and oversee the work, of such compensation consultant, legal counsel and other advisers. </w:t>
        <w:tab/>
        <w:t>The compensation consultants, legal and any other advisors except legal counsel, retained by the Committee shall be independent in accordance with the independence requirements of the Dodd-Frank Wall Street Reform and Consumer Protection Act of 2010 and the applicable rules and regulations promulgated thereunder by the SEC as well as any applicable listing standards and rules of stock exchanges on which the Company’s common stock is listed or approved for quotation. In determining the independence of its advisers, the Compensation Committee must consider the following independence factors: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Other services provided to the Listed Company by the advisory firm;</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Fees paid by the Listed Company to the advisory firm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the firm’s total revenues;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policies and procedures of the advisory firm that are designed to prevent conflicts of interest;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business or personal relationship between the advisory firm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compensation committee or any executive officer of the advisory firm; and</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stock of the Listed Company owed by the individual member of the advisory firm.</w:t>
      </w:r>
    </w:p>
    <w:p>
      <w:pPr>
        <w:keepNext w:val="0"/>
        <w:spacing w:before="200" w:after="0" w:line="260" w:lineRule="exact"/>
        <w:ind w:left="720" w:right="0" w:firstLine="0"/>
        <w:jc w:val="both"/>
      </w:pPr>
      <w:r>
        <w:rPr>
          <w:rFonts w:ascii="Times New Roman" w:hAnsi="Times New Roman" w:eastAsia="Times New Roman" w:cs="Times New Roman"/>
          <w:b w:val="0"/>
          <w:sz w:val="24"/>
        </w:rPr>
        <w:t>The Committee may use legal counsel who is not independent if it so desires.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Committee shall receive appropriate funding from the Company, as determined by the Committee in its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of the Board, for the payment of compensation to its compensation consultants, legal counsel and any other advisors.</w:t>
      </w:r>
    </w:p>
    <w:p>
      <w:pPr>
        <w:keepNext w:val="0"/>
        <w:spacing w:before="120" w:after="0" w:line="260" w:lineRule="exact"/>
        <w:ind w:left="360" w:right="0" w:firstLine="0"/>
        <w:jc w:val="left"/>
      </w:pPr>
      <w:r>
        <w:rPr>
          <w:rFonts w:ascii="Times New Roman" w:hAnsi="Times New Roman" w:eastAsia="Times New Roman" w:cs="Times New Roman"/>
          <w:b/>
          <w:sz w:val="24"/>
        </w:rPr>
        <w:t>OPERATIONS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Committee shall meet as often as it deems desirable. The Committee shall take written minutes of its meetings and activities and submit such minutes to the recording secretary of the Company for filing. The Chair of the Committee shall report to the Board as requested by the Chairman of the Board.</w:t>
      </w:r>
    </w:p>
    <w:p>
      <w:pPr>
        <w:keepNext w:val="0"/>
        <w:spacing w:before="200" w:after="0" w:line="260" w:lineRule="exact"/>
        <w:ind w:left="720" w:right="0" w:firstLine="0"/>
        <w:jc w:val="both"/>
      </w:pPr>
      <w:r>
        <w:rPr>
          <w:rFonts w:ascii="Times New Roman" w:hAnsi="Times New Roman" w:eastAsia="Times New Roman" w:cs="Times New Roman"/>
          <w:b w:val="0"/>
          <w:sz w:val="24"/>
        </w:rPr>
        <w:t>The Committee shall be governed by the same rules regarding meetings (including meetings in person or by telephone or other similar communications equipment), action without meetings, notice, waiver of notice, and quorum and voting requirements as are applicable to the Board.</w:t>
      </w:r>
    </w:p>
    <w:p>
      <w:pPr>
        <w:keepNext w:val="0"/>
        <w:spacing w:before="200" w:after="0" w:line="260" w:lineRule="exact"/>
        <w:ind w:left="720" w:right="0" w:firstLine="0"/>
        <w:jc w:val="both"/>
      </w:pPr>
      <w:r>
        <w:rPr>
          <w:rFonts w:ascii="Times New Roman" w:hAnsi="Times New Roman" w:eastAsia="Times New Roman" w:cs="Times New Roman"/>
          <w:b w:val="0"/>
          <w:sz w:val="24"/>
        </w:rPr>
        <w:t>The Committee may invite such members of management to its meetings as it deems appropriate. However, the Committee shall meet regularly without such members present, and such management members shall not be present at meetings at which their compensation or performance is discussed or determined or under circumstances when the independence of Committee determinations may be compromised.</w:t>
      </w:r>
    </w:p>
    <w:p>
      <w:pPr>
        <w:keepNext w:val="0"/>
        <w:spacing w:before="120" w:after="0" w:line="260" w:lineRule="exact"/>
        <w:ind w:left="360" w:right="0" w:firstLine="0"/>
        <w:jc w:val="left"/>
      </w:pPr>
      <w:r>
        <w:rPr>
          <w:rFonts w:ascii="Times New Roman" w:hAnsi="Times New Roman" w:eastAsia="Times New Roman" w:cs="Times New Roman"/>
          <w:b/>
          <w:sz w:val="24"/>
        </w:rPr>
        <w:t>DELEGATION OF AUTHORITY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Committee shall have the authority to delegate any of its responsibilities, along with the authority to take action in relation to such responsibilities, to one or more subcommittees as the Committee may deem appropriate in its sole discretion.</w:t>
      </w:r>
    </w:p>
    <w:p>
      <w:pPr>
        <w:keepNext w:val="0"/>
        <w:spacing w:before="120" w:after="0" w:line="260" w:lineRule="exact"/>
        <w:ind w:left="360" w:right="0" w:firstLine="0"/>
        <w:jc w:val="left"/>
      </w:pPr>
      <w:r>
        <w:rPr>
          <w:rFonts w:ascii="Times New Roman" w:hAnsi="Times New Roman" w:eastAsia="Times New Roman" w:cs="Times New Roman"/>
          <w:b/>
          <w:sz w:val="24"/>
        </w:rPr>
        <w:t>PERFORMANCE EVALUATION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Committee shall perform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periodic review and evaluation of the performance of the Committee and its members, including the compliance of the Committee with this Charter. In addition, the Committee shall review and reassess periodically the adequacy of this Charter and recommend to the Board any improvements to this Charter that the Committee considers necessary or desirable. The Committee shall conduct such evaluations and reviews in such manner, and at such times, as it deems appropriate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