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Compensation Committee Self-Evaluation Questionnaire</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form questionnaire is intended for use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compensation committee to assist it with its performance assessment. This questionnaire should be provided to compensation committee members and others who interact with the compensation committee to receive additional feedback and assessment. This may include HR executives, compensation consultants and independent legal advisers. The compensation committee should consider designating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coordinator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timeframe for receiving and processing the results. See NYSE and Nasdaq Board of Directors and Committee Governance Requirements Under Sarbanes-Oxley and Dodd-Frank — Compensation Committee Standards for practical guidance and access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Compensation Committee Charter (SEC, NYSE, and Nasdaq Compliant). Note that this form questionnaire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suggested framework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compensation committee’s assessment and should be tailored to suit the specific circumstances of the company.</w:t>
      </w:r>
    </w:p>
    <w:p>
      <w:pPr>
        <w:keepNext w:val="0"/>
        <w:spacing w:before="200" w:after="0" w:line="260" w:lineRule="exact"/>
        <w:ind w:left="0" w:right="0" w:firstLine="0"/>
        <w:jc w:val="both"/>
      </w:pPr>
      <w:r>
        <w:rPr>
          <w:rFonts w:ascii="Times New Roman" w:hAnsi="Times New Roman" w:eastAsia="Times New Roman" w:cs="Times New Roman"/>
          <w:b/>
          <w:sz w:val="24"/>
        </w:rPr>
        <w:t>Instructions:</w:t>
      </w:r>
      <w:r>
        <w:rPr>
          <w:rFonts w:ascii="Times New Roman" w:hAnsi="Times New Roman" w:eastAsia="Times New Roman" w:cs="Times New Roman"/>
          <w:b w:val="0"/>
          <w:sz w:val="24"/>
        </w:rPr>
        <w:t xml:space="preserve"> This questionnaire has been prepared for [Company’s] annual evaluation of its Compensation Committee. Please complete this evaluation and provided it to [Contact Person] on or before [Date].</w:t>
      </w:r>
    </w:p>
    <w:p>
      <w:pPr>
        <w:keepNext w:val="0"/>
        <w:spacing w:before="200" w:after="0" w:line="260" w:lineRule="exact"/>
        <w:ind w:left="400" w:right="0" w:firstLine="0"/>
        <w:jc w:val="both"/>
      </w:pPr>
      <w:r>
        <w:rPr>
          <w:rFonts w:ascii="Times New Roman" w:hAnsi="Times New Roman" w:eastAsia="Times New Roman" w:cs="Times New Roman"/>
          <w:b w:val="0"/>
          <w:sz w:val="24"/>
        </w:rPr>
        <w:t>The</w:t>
      </w:r>
      <w:r>
        <w:rPr>
          <w:rFonts w:ascii="Times New Roman" w:hAnsi="Times New Roman" w:eastAsia="Times New Roman" w:cs="Times New Roman"/>
          <w:b w:val="0"/>
          <w:sz w:val="24"/>
        </w:rPr>
        <w:t xml:space="preserve"> NYSE Listed Company Manual </w:t>
      </w:r>
      <w:r>
        <w:rPr>
          <w:rFonts w:ascii="Times New Roman" w:hAnsi="Times New Roman" w:eastAsia="Times New Roman" w:cs="Times New Roman"/>
          <w:b w:val="0"/>
          <w:sz w:val="24"/>
        </w:rPr>
        <w:t xml:space="preserve">requires the compensation committee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performance evaluation, and this must be addressed in the compensation committee’s charter. See Section 303A.05 of the</w:t>
      </w:r>
      <w:r>
        <w:rPr>
          <w:rFonts w:ascii="Times New Roman" w:hAnsi="Times New Roman" w:eastAsia="Times New Roman" w:cs="Times New Roman"/>
          <w:b w:val="0"/>
          <w:sz w:val="24"/>
        </w:rPr>
        <w:t xml:space="preserve"> NYSE Listed Company Manual</w:t>
      </w:r>
      <w:r>
        <w:rPr>
          <w:rFonts w:ascii="Times New Roman" w:hAnsi="Times New Roman" w:eastAsia="Times New Roman" w:cs="Times New Roman"/>
          <w:b w:val="0"/>
          <w:sz w:val="24"/>
        </w:rPr>
        <w:t>. While the rules do not proscribe specific guidance on the evaluation process, companies composing evaluation questionnaires should base them on the general requirements posed in the</w:t>
      </w:r>
      <w:r>
        <w:rPr>
          <w:rFonts w:ascii="Times New Roman" w:hAnsi="Times New Roman" w:eastAsia="Times New Roman" w:cs="Times New Roman"/>
          <w:b w:val="0"/>
          <w:sz w:val="24"/>
        </w:rPr>
        <w:t xml:space="preserve"> NYSE Listed Company Manual </w:t>
      </w:r>
      <w:r>
        <w:rPr>
          <w:rFonts w:ascii="Times New Roman" w:hAnsi="Times New Roman" w:eastAsia="Times New Roman" w:cs="Times New Roman"/>
          <w:b w:val="0"/>
          <w:sz w:val="24"/>
        </w:rPr>
        <w:t>to confirm that the compensation committee meets the standards of NYSE listed companies.</w:t>
      </w:r>
    </w:p>
    <w:p>
      <w:pPr>
        <w:keepNext w:val="0"/>
        <w:spacing w:before="200" w:after="0" w:line="260" w:lineRule="exact"/>
        <w:ind w:left="400" w:right="0" w:firstLine="0"/>
        <w:jc w:val="both"/>
      </w:pPr>
      <w:r>
        <w:rPr>
          <w:rFonts w:ascii="Times New Roman" w:hAnsi="Times New Roman" w:eastAsia="Times New Roman" w:cs="Times New Roman"/>
          <w:b w:val="0"/>
          <w:sz w:val="24"/>
        </w:rPr>
        <w:t xml:space="preserve">While NASDAQ does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requirement for listed companies, more companies are choosing to do so in order to assess the performance and effectiveness of their compensation committees.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assessment of effectiveness and the adequacy of its policies allows compensation committees to identify areas in which the committee may be more effective as well as highlight any deficiencies or knowledge gaps of its members.</w:t>
      </w:r>
    </w:p>
    <w:p>
      <w:pPr>
        <w:keepNext w:val="0"/>
        <w:spacing w:before="200" w:after="0" w:line="260" w:lineRule="exact"/>
        <w:ind w:left="400" w:right="0" w:firstLine="0"/>
        <w:jc w:val="both"/>
      </w:pPr>
      <w:r>
        <w:rPr>
          <w:rFonts w:ascii="Times New Roman" w:hAnsi="Times New Roman" w:eastAsia="Times New Roman" w:cs="Times New Roman"/>
          <w:b w:val="0"/>
          <w:sz w:val="24"/>
        </w:rPr>
        <w:t xml:space="preserve">Since the NYSE does not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format for assessment, companies may choose to do so through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questionnaire or in-person interviews with committee members. When drafting questionnaires for clients, be mindful of limiting the scope of the questions to solicit qualitative judgment rather than objective, compliance-oriented conclusory questions. Criteria can be assessed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rating scale,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scale of “Agree,” “Disagree,” or “Strongly Agree,” avoiding scales that end in “inadequate” or “weak” thereby limiting exposure.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For each statement below, select the rating that most closely reflects the Compensation Committee’s performance.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Comments space is provided, which you may use to expand on your answer to the proposed question. [All responses will be treated as anonymous.]</w:t>
      </w:r>
    </w:p>
    <w:p>
      <w:pPr>
        <w:keepNext w:val="0"/>
        <w:spacing w:before="200" w:after="0" w:line="260" w:lineRule="exact"/>
        <w:ind w:left="400" w:right="0" w:firstLine="0"/>
        <w:jc w:val="both"/>
      </w:pPr>
      <w:r>
        <w:rPr>
          <w:rFonts w:ascii="Times New Roman" w:hAnsi="Times New Roman" w:eastAsia="Times New Roman" w:cs="Times New Roman"/>
          <w:b w:val="0"/>
          <w:sz w:val="24"/>
        </w:rPr>
        <w:t xml:space="preserve">The compensation committee may decide whether to ask reviewers to sign the form or give them the opportunity to remain anonymous. Anonymity will likely allow for more candor, but will also not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follow up with the particular reviewer regarding any concerns that he or she raises in answering the questions.</w:t>
      </w:r>
    </w:p>
    <w:p>
      <w:pPr>
        <w:keepNext w:val="0"/>
        <w:spacing w:before="200" w:after="0" w:line="260" w:lineRule="exact"/>
        <w:ind w:left="0" w:right="0" w:firstLine="0"/>
        <w:jc w:val="both"/>
      </w:pPr>
      <w:r>
        <w:rPr>
          <w:rFonts w:ascii="Times New Roman" w:hAnsi="Times New Roman" w:eastAsia="Times New Roman" w:cs="Times New Roman"/>
          <w:b/>
          <w:sz w:val="24"/>
        </w:rPr>
        <w:t>[Company]</w:t>
      </w:r>
    </w:p>
    <w:p>
      <w:pPr>
        <w:keepNext w:val="0"/>
        <w:spacing w:before="200" w:after="0" w:line="260" w:lineRule="exact"/>
        <w:ind w:left="0" w:right="0" w:firstLine="0"/>
        <w:jc w:val="both"/>
      </w:pPr>
      <w:r>
        <w:rPr>
          <w:rFonts w:ascii="Times New Roman" w:hAnsi="Times New Roman" w:eastAsia="Times New Roman" w:cs="Times New Roman"/>
          <w:b/>
          <w:sz w:val="24"/>
        </w:rPr>
        <w:t>Compensation Committee Self-Evaluation</w:t>
      </w:r>
    </w:p>
    <w:p>
      <w:pPr>
        <w:keepNext w:val="0"/>
        <w:spacing w:before="200" w:after="0" w:line="260" w:lineRule="exact"/>
        <w:ind w:left="0" w:right="0" w:firstLine="0"/>
        <w:jc w:val="both"/>
      </w:pPr>
      <w:r>
        <w:rPr>
          <w:rFonts w:ascii="Times New Roman" w:hAnsi="Times New Roman" w:eastAsia="Times New Roman" w:cs="Times New Roman"/>
          <w:b/>
          <w:sz w:val="24"/>
        </w:rPr>
        <w:t>Composition and Structure</w:t>
      </w:r>
    </w:p>
    <w:p>
      <w:pPr>
        <w:keepNext w:val="0"/>
        <w:spacing w:before="200" w:after="0" w:line="260" w:lineRule="exact"/>
        <w:ind w:left="0" w:right="0" w:firstLine="0"/>
        <w:jc w:val="both"/>
      </w:pPr>
      <w:r>
        <w:rPr>
          <w:rFonts w:ascii="Times New Roman" w:hAnsi="Times New Roman" w:eastAsia="Times New Roman" w:cs="Times New Roman"/>
          <w:b w:val="0"/>
          <w:sz w:val="24"/>
        </w:rPr>
        <w:t>Compensation committee members should satisfy the requirements for independence. See Section 303A.02 of the</w:t>
      </w:r>
      <w:r>
        <w:rPr>
          <w:rFonts w:ascii="Times New Roman" w:hAnsi="Times New Roman" w:eastAsia="Times New Roman" w:cs="Times New Roman"/>
          <w:b w:val="0"/>
          <w:sz w:val="24"/>
        </w:rPr>
        <w:t xml:space="preserve"> NYSE Listed Company Manual </w:t>
      </w:r>
      <w:r>
        <w:rPr>
          <w:rFonts w:ascii="Times New Roman" w:hAnsi="Times New Roman" w:eastAsia="Times New Roman" w:cs="Times New Roman"/>
          <w:b w:val="0"/>
          <w:sz w:val="24"/>
        </w:rPr>
        <w:t>. In order to be deemed “independent,” the director must have no material relationship with the listed company and in making this determination, the company must consider all relevant facts and circumstances including any commercial, financial, legal, chartable, familial or other relationships that the director may have with the company and its employees.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The NYSE manual sets out specific tests for independence and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vigorous assessment for compensation committee members. To be on the compensation committee, the company must vet the prospective member’s sources of compensation and consider whether the director receives any compensation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entity that could potentially influence his or her ability to make independent judgments about executive compensation. See Section 303A.02(B) of the</w:t>
      </w:r>
      <w:r>
        <w:rPr>
          <w:rFonts w:ascii="Times New Roman" w:hAnsi="Times New Roman" w:eastAsia="Times New Roman" w:cs="Times New Roman"/>
          <w:b w:val="0"/>
          <w:sz w:val="24"/>
        </w:rPr>
        <w:t xml:space="preserve"> NYSE Listed Company Manual</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does not already have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thorough new member training program or continuing education programs specific to the compensation committee, then it should consider implementing such programs. Members should attend trainings to assess their own level of compensation knowledge including fast-evolving compensation and governance trends.</w:t>
      </w:r>
    </w:p>
    <w:p>
      <w:pPr>
        <w:keepNext w:val="0"/>
        <w:spacing w:before="200" w:after="0" w:line="260" w:lineRule="exact"/>
        <w:ind w:left="0" w:right="0" w:firstLine="0"/>
        <w:jc w:val="both"/>
      </w:pPr>
      <w:r>
        <w:rPr>
          <w:rFonts w:ascii="Times New Roman" w:hAnsi="Times New Roman" w:eastAsia="Times New Roman" w:cs="Times New Roman"/>
          <w:b/>
          <w:sz w:val="24"/>
        </w:rPr>
        <w:t>Compensation Committee Chairman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The compensation committee will typically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appointed or elected chairman to lead meetings and serve as the liaison between the committee and the company’s board of directors, HR executives and management. The questions in this section allow committee members the opportunity to discuss the chairman’s performance. If members collectively agree that the chairman is not effectively leading the committee, then the board of directors may decide to review and act on these concerns.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While it is standard for the committee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review, if members believe that the chairman is not performing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level, then they should consider voicing their concerns to the board immediately rather than waiting for the assessment process. The function of the chairman is essential to the committee’s success in meeting its goals and responsibilities.</w:t>
      </w:r>
    </w:p>
    <w:p>
      <w:pPr>
        <w:keepNext w:val="0"/>
        <w:spacing w:before="200" w:after="0" w:line="260" w:lineRule="exact"/>
        <w:ind w:left="0" w:right="0" w:firstLine="0"/>
        <w:jc w:val="both"/>
      </w:pPr>
      <w:r>
        <w:rPr>
          <w:rFonts w:ascii="Times New Roman" w:hAnsi="Times New Roman" w:eastAsia="Times New Roman" w:cs="Times New Roman"/>
          <w:b/>
          <w:sz w:val="24"/>
        </w:rPr>
        <w:t>Process and Procedures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Since the compensation committee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sub-committee of the board of directors, it reports to the board. Therefore, its relationship and interaction with the general board and the company’s management is essential for purposes of transparency and effectiveness. The compensation committee should hold sufficient meetings (preferably, at least quarterly), which are scheduled at appropriate times to address its responsibilities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Meetings should be of adequate length to allow members to accomplish their agenda and leave time for open discussion. The chairman should distribute the agenda and any other relevant material ahead of meetings in order to allow members adequate time to review. Compensation committee meeting notes should be discussed with the board of directors at large.</w:t>
      </w:r>
    </w:p>
    <w:p>
      <w:pPr>
        <w:keepNext w:val="0"/>
        <w:spacing w:before="200" w:after="0" w:line="260" w:lineRule="exact"/>
        <w:ind w:left="0" w:right="0" w:firstLine="0"/>
        <w:jc w:val="both"/>
      </w:pPr>
      <w:r>
        <w:rPr>
          <w:rFonts w:ascii="Times New Roman" w:hAnsi="Times New Roman" w:eastAsia="Times New Roman" w:cs="Times New Roman"/>
          <w:b/>
          <w:sz w:val="24"/>
        </w:rPr>
        <w:t>Oversight of the Compensation Process</w:t>
      </w:r>
    </w:p>
    <w:p>
      <w:pPr>
        <w:keepNext w:val="0"/>
        <w:spacing w:before="200" w:after="0" w:line="260" w:lineRule="exact"/>
        <w:ind w:left="0" w:right="0" w:firstLine="0"/>
        <w:jc w:val="both"/>
      </w:pPr>
      <w:r>
        <w:rPr>
          <w:rFonts w:ascii="Times New Roman" w:hAnsi="Times New Roman" w:eastAsia="Times New Roman" w:cs="Times New Roman"/>
          <w:b w:val="0"/>
          <w:sz w:val="24"/>
        </w:rPr>
        <w:t>The compensation committee is tasked with overseeing the compensation process for executives. Compensation committee members must take into account all aspects of compensation packages including any potential risks for the company.</w:t>
      </w:r>
    </w:p>
    <w:p>
      <w:pPr>
        <w:keepNext w:val="0"/>
        <w:spacing w:before="200" w:after="0" w:line="260" w:lineRule="exact"/>
        <w:ind w:left="0" w:right="0" w:firstLine="0"/>
        <w:jc w:val="both"/>
      </w:pPr>
      <w:r>
        <w:rPr>
          <w:rFonts w:ascii="Times New Roman" w:hAnsi="Times New Roman" w:eastAsia="Times New Roman" w:cs="Times New Roman"/>
          <w:b w:val="0"/>
          <w:sz w:val="24"/>
        </w:rPr>
        <w:t>The board of directors may decide to provide the compensation committee with authority over compensation for all executives or only the CEO with the understanding that the committee would provide recommendations regarding other executive compensation to the board of directors that would then decide on the compensation.</w:t>
      </w:r>
    </w:p>
    <w:p>
      <w:pPr>
        <w:keepNext w:val="0"/>
        <w:spacing w:before="200" w:after="0" w:line="260" w:lineRule="exact"/>
        <w:ind w:left="0" w:right="0" w:firstLine="0"/>
        <w:jc w:val="both"/>
      </w:pPr>
      <w:r>
        <w:rPr>
          <w:rFonts w:ascii="Times New Roman" w:hAnsi="Times New Roman" w:eastAsia="Times New Roman" w:cs="Times New Roman"/>
          <w:b/>
          <w:sz w:val="24"/>
        </w:rPr>
        <w:t>Oversight of Compensation Consultants, Independent Legal Counsel or other Advisers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The compensation committee may engage the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compensation consultant, independent legal counsel or other advisers. In particular, the company should consider budgeting for the compensation committee to have their own independent counsel to provide advice in instances where company counsel is likely to have conflicts of interest.</w:t>
      </w:r>
    </w:p>
    <w:p>
      <w:pPr>
        <w:keepNext w:val="0"/>
        <w:spacing w:before="200" w:after="0" w:line="260" w:lineRule="exact"/>
        <w:ind w:left="0" w:right="0" w:firstLine="0"/>
        <w:jc w:val="both"/>
      </w:pPr>
      <w:r>
        <w:rPr>
          <w:rFonts w:ascii="Times New Roman" w:hAnsi="Times New Roman" w:eastAsia="Times New Roman" w:cs="Times New Roman"/>
          <w:b w:val="0"/>
          <w:sz w:val="24"/>
        </w:rPr>
        <w:t>Under the NYSE rules, such external consultants and advisers must be deemed independent from management. Section 303A.05(c) of the</w:t>
      </w:r>
      <w:r>
        <w:rPr>
          <w:rFonts w:ascii="Times New Roman" w:hAnsi="Times New Roman" w:eastAsia="Times New Roman" w:cs="Times New Roman"/>
          <w:b w:val="0"/>
          <w:sz w:val="24"/>
        </w:rPr>
        <w:t xml:space="preserve"> NYSE Listed Company Manual </w:t>
      </w:r>
      <w:r>
        <w:rPr>
          <w:rFonts w:ascii="Times New Roman" w:hAnsi="Times New Roman" w:eastAsia="Times New Roman" w:cs="Times New Roman"/>
          <w:b w:val="0"/>
          <w:sz w:val="24"/>
        </w:rPr>
        <w:t>sets out guidelines for determining independence.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