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WASHINGTON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Plaintiff(s) allege(s):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PARTIES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 name] is [allege identity and residence of first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(county name) County, Washington].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plaintiffs, if any]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 name] is [allege identity and residence of first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incorporated in the State of Delaware with its principal place of business in (city name), Washington].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JURISDICTION AND VENUE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of the subject matter of this action because [allege facts establishing subject matter jurisdiction, e.g., plaintiff seeks damages from defendant for breach of contract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exceeding the minimum jurisdictional amount for this court as provided in Rev. Code Wash. § 2.08.010].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over defendant because [specify facts establishing personal jurisdiction over defendant, e.g., defendant has its principal place of business within the State of Washington, as alleged in paragraph (number) above].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[county name] County, in which this court is located,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action under [cite applicable venue statute, e.g., Revised Code of Washington Section 4.12.025(1), (3)] because [allege facts, e.g., defendant transacts business within this county and the county is therefore defendant corporation's residence for purposes of the venue statute].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CLAIMS FOR RELIEF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Count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 [identify type of claim, e.g., Breach of Contract]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incorporates by reference the allegations set forth in paragraphs [paragraph numbers], above.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establish elements of claim, including resulting damages].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Count B. [identify type of claim, e.g., Fraud]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incorporates by reference the allegations set forth in paragraphs [paragraph numbers], above.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establish elements of claim, including resulting damages].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for relief, as appropriate]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PRAYER FOR RELIEF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THEREFORE, plaintiff(s) request(s) that the court enter judgment in [his or her or its or their] favor and against defendant(s) as follows: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type of relief requested, e.g., For compensatory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to be determined];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[Specify additional relief requested, e.g., For reasonable attorney's fees incurred by plaintiff in bringing this action];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[one or more additional paragraphs specifying other relief requested, as appropriate];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just and appropriate.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Attach exhibits, if any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