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199-F12.01–4</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Complaint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F12.01–4 Complaint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Declaratory Judgment Against Discriminatory Election Procedures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County Party Committee in Violation of the Voting Rights Act </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keepNext w:val="0"/>
        <w:spacing w:before="240" w:after="0" w:line="260" w:lineRule="exact"/>
        <w:ind w:left="0" w:right="0" w:firstLine="0"/>
        <w:jc w:val="left"/>
      </w:pPr>
      <w:r>
        <w:rPr>
          <w:rFonts w:ascii="Times New Roman" w:hAnsi="Times New Roman" w:eastAsia="Times New Roman" w:cs="Times New Roman"/>
          <w:b/>
          <w:sz w:val="24"/>
        </w:rPr>
        <w:t xml:space="preserve">UNITED STATES DISTRICT COURT   District of </w:t>
      </w:r>
    </w:p>
    <w:p>
      <w:pPr>
        <w:keepNext w:val="0"/>
        <w:spacing w:before="60" w:after="0" w:line="260" w:lineRule="exact"/>
        <w:ind w:left="0" w:right="0" w:firstLine="0"/>
        <w:jc w:val="both"/>
      </w:pPr>
      <w:r>
        <w:rPr>
          <w:rFonts w:ascii="Times New Roman" w:hAnsi="Times New Roman" w:eastAsia="Times New Roman" w:cs="Times New Roman"/>
          <w:b w:val="0"/>
          <w:sz w:val="24"/>
        </w:rPr>
        <w:t xml:space="preserve"> Complaint</w:t>
      </w:r>
    </w:p>
    <w:p>
      <w:pPr>
        <w:keepNext w:val="0"/>
        <w:spacing w:before="240" w:after="0" w:line="260" w:lineRule="exact"/>
        <w:ind w:left="0" w:right="0" w:firstLine="0"/>
        <w:jc w:val="center"/>
      </w:pPr>
      <w:r>
        <w:rPr>
          <w:rFonts w:ascii="Times New Roman" w:hAnsi="Times New Roman" w:eastAsia="Times New Roman" w:cs="Times New Roman"/>
          <w:b/>
          <w:sz w:val="24"/>
        </w:rPr>
        <w:t>JURISDICTION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 Jurisdiction of this action is founded on the 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question arising under particular statutes.</w:t>
      </w:r>
    </w:p>
    <w:p>
      <w:pPr>
        <w:keepNext w:val="0"/>
        <w:spacing w:before="200" w:after="0" w:line="260" w:lineRule="exact"/>
        <w:ind w:left="0" w:right="0" w:firstLine="0"/>
        <w:jc w:val="both"/>
      </w:pPr>
      <w:r>
        <w:rPr>
          <w:rFonts w:ascii="Times New Roman" w:hAnsi="Times New Roman" w:eastAsia="Times New Roman" w:cs="Times New Roman"/>
          <w:b w:val="0"/>
          <w:sz w:val="24"/>
        </w:rPr>
        <w:t>The action arises under Sections 5 and 12 of the Voting Rights Act of 1965, 42 U.S.C. § 1973(c) and (j), as amended by Section 4 of the Voting Rights Amendment Act of 1970 (Public Law 91–285), and under 28 U.S.C. § 1343.</w:t>
      </w:r>
    </w:p>
    <w:p>
      <w:pPr>
        <w:keepNext w:val="0"/>
        <w:spacing w:before="240" w:after="0" w:line="260" w:lineRule="exact"/>
        <w:ind w:left="0" w:right="0" w:firstLine="0"/>
        <w:jc w:val="center"/>
      </w:pPr>
      <w:r>
        <w:rPr>
          <w:rFonts w:ascii="Times New Roman" w:hAnsi="Times New Roman" w:eastAsia="Times New Roman" w:cs="Times New Roman"/>
          <w:b/>
          <w:sz w:val="24"/>
        </w:rPr>
        <w:t>VENUE</w:t>
      </w:r>
    </w:p>
    <w:p>
      <w:pPr>
        <w:keepNext w:val="0"/>
        <w:spacing w:before="200" w:after="0" w:line="260" w:lineRule="exact"/>
        <w:ind w:left="0" w:right="0" w:firstLine="0"/>
        <w:jc w:val="both"/>
      </w:pPr>
      <w:r>
        <w:rPr>
          <w:rFonts w:ascii="Times New Roman" w:hAnsi="Times New Roman" w:eastAsia="Times New Roman" w:cs="Times New Roman"/>
          <w:b w:val="0"/>
          <w:sz w:val="24"/>
        </w:rPr>
        <w:t>2. Venue is predicated on the provisions of 28 U.S.C. § 1391(</w:t>
      </w:r>
      <w:r>
        <w:rPr>
          <w:rFonts w:ascii="Times New Roman" w:hAnsi="Times New Roman" w:eastAsia="Times New Roman" w:cs="Times New Roman"/>
          <w:b/>
          <w:sz w:val="24"/>
        </w:rPr>
        <w:t>a</w:t>
      </w:r>
      <w:r>
        <w:rPr>
          <w:rFonts w:ascii="Times New Roman" w:hAnsi="Times New Roman" w:eastAsia="Times New Roman" w:cs="Times New Roman"/>
          <w:b w:val="0"/>
          <w:sz w:val="24"/>
        </w:rPr>
        <w:t>) and (b).</w:t>
      </w:r>
    </w:p>
    <w:p>
      <w:pPr>
        <w:keepNext w:val="0"/>
        <w:spacing w:before="240" w:after="0" w:line="260" w:lineRule="exact"/>
        <w:ind w:left="0" w:right="0" w:firstLine="0"/>
        <w:jc w:val="center"/>
      </w:pPr>
      <w:r>
        <w:rPr>
          <w:rFonts w:ascii="Times New Roman" w:hAnsi="Times New Roman" w:eastAsia="Times New Roman" w:cs="Times New Roman"/>
          <w:b/>
          <w:sz w:val="24"/>
        </w:rPr>
        <w:t>THREE-JUDGE DISTRICT COURT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 Convocation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three-judge District Court is required by the provisions of 28 U.S.C. § 2284 and 42 U.S.C. § 1973(c).</w:t>
      </w:r>
    </w:p>
    <w:p>
      <w:pPr>
        <w:keepNext w:val="0"/>
        <w:spacing w:before="240" w:after="0" w:line="260" w:lineRule="exact"/>
        <w:ind w:left="0" w:right="0" w:firstLine="0"/>
        <w:jc w:val="center"/>
      </w:pPr>
      <w:r>
        <w:rPr>
          <w:rFonts w:ascii="Times New Roman" w:hAnsi="Times New Roman" w:eastAsia="Times New Roman" w:cs="Times New Roman"/>
          <w:b/>
          <w:sz w:val="24"/>
        </w:rPr>
        <w:t>THE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 The defendants are: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Section 5 of the Voting Rights Act of 1965, as amended by Public Law 91–285 of 1970, 42 U.S.C. § 1973(c), requires that any qualification, prerequisite, standard, practice, or procedure may not be enforced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political subdivision until the change has been submitted to the Attorney General of the United States and the latter has not interposed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thereto within sixty days after such submission or, alternatively,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has been obtained from the United States District Court for the district of Columbia that said qualification, prerequisite, standard, practice, or procedure does not have the purpose and will not have the effect of denying or abridging the right to vote on account of race or color.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15. The aforesaid change was not submitted to the Attorney General of the United States and was not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in the District of Columbia.</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18. Plaintiffs will be irreparably injured by enforcement of the changes described herein and are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20. Pursuant to 42 U.S.C. § 1973(c) (Section 5 of the Voting Rights Act),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put into effect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jurisdiction any change in practice or procedure which has not been submitted to the Justice Department for pre-clearance, this court must enjoin such attempt.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WHEREFORE, </w:t>
      </w:r>
      <w:r>
        <w:rPr>
          <w:rFonts w:ascii="Times New Roman" w:hAnsi="Times New Roman" w:eastAsia="Times New Roman" w:cs="Times New Roman"/>
          <w:b w:val="0"/>
          <w:sz w:val="24"/>
        </w:rPr>
        <w:t>plaintiffs demand judgment in their favor declaring that the rules hereinabove enumerated are in violation of Section 5 of the Voting Rights Act of 1965, as amended, and that:</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The court exercises its jurisdiction pursuant to the Fourteenth and Fifteenth Amendments to the United States Constitution, 42 U.S.C. § 1973, 42 U.S.C. §§ 1981 and 1983, 28 U.S.C. §§ 1331 and 1343(3)(4), and 28 U.S.C. §§ 2201 and 2202;</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three-judge district court be promptly empaneled and convened as required by 28 U.S.C. § 2284 and 42 U.S.C. § 1973(c);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This action be advanced on the docket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speedy hearing ordered of this case;</w:t>
      </w:r>
    </w:p>
    <w:p>
      <w:pPr>
        <w:keepNext w:val="0"/>
        <w:spacing w:before="200" w:after="0" w:line="260" w:lineRule="exact"/>
        <w:ind w:left="0" w:right="0" w:firstLine="0"/>
        <w:jc w:val="both"/>
      </w:pPr>
      <w:r>
        <w:rPr>
          <w:rFonts w:ascii="Times New Roman" w:hAnsi="Times New Roman" w:eastAsia="Times New Roman" w:cs="Times New Roman"/>
          <w:b w:val="0"/>
          <w:sz w:val="24"/>
        </w:rPr>
        <w:t>F. The court declares any actions taken by said Executive Committee pursuant to said alleged rules changes, or in violation of the Fourteenth and Fifteenth Amendments to the United States Constitution or the Voting Rights Act, be declared null and void;</w:t>
      </w:r>
    </w:p>
    <w:p>
      <w:pPr>
        <w:keepNext w:val="0"/>
        <w:spacing w:before="200" w:after="0" w:line="260" w:lineRule="exact"/>
        <w:ind w:left="0" w:right="0" w:firstLine="0"/>
        <w:jc w:val="both"/>
      </w:pPr>
      <w:r>
        <w:rPr>
          <w:rFonts w:ascii="Times New Roman" w:hAnsi="Times New Roman" w:eastAsia="Times New Roman" w:cs="Times New Roman"/>
          <w:b w:val="0"/>
          <w:sz w:val="24"/>
        </w:rPr>
        <w:t>G. The court retains jurisdiction of this matter for all purposes to effect the relief sought above; and</w:t>
      </w:r>
    </w:p>
    <w:p>
      <w:pPr>
        <w:keepNext w:val="0"/>
        <w:spacing w:before="200" w:after="0" w:line="260" w:lineRule="exact"/>
        <w:ind w:left="0" w:right="0" w:firstLine="0"/>
        <w:jc w:val="both"/>
      </w:pPr>
      <w:r>
        <w:rPr>
          <w:rFonts w:ascii="Times New Roman" w:hAnsi="Times New Roman" w:eastAsia="Times New Roman" w:cs="Times New Roman"/>
          <w:b w:val="0"/>
          <w:sz w:val="24"/>
        </w:rPr>
        <w:t>H. The court awards plaintiffs their costs and reasonable attorney’s fees, together with such other and further relief as to this Court may seem just and proper to protect the rights of plaintiffs and the class they represent.</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Attorneys for Plaintiffs</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Office and P.O. Address</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Civil Rights Actions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