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to Avoid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Postpetition Transfer under Section 549</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COMPLAINT TO AVOID AND RECOVER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POSTPETITION TRANSFERS PURSUANT TO 11 U.S.C. §§ 549 AND 550</w:t>
      </w:r>
    </w:p>
    <w:p>
      <w:pPr>
        <w:keepNext w:val="0"/>
        <w:spacing w:before="200" w:after="0" w:line="260" w:lineRule="exact"/>
        <w:ind w:left="360" w:right="0" w:firstLine="0"/>
        <w:jc w:val="both"/>
      </w:pPr>
      <w:r>
        <w:rPr>
          <w:rFonts w:ascii="Times New Roman" w:hAnsi="Times New Roman" w:eastAsia="Times New Roman" w:cs="Times New Roman"/>
          <w:b w:val="0"/>
          <w:sz w:val="24"/>
        </w:rPr>
        <w:t>[Plaintiff name] ("[Plaintiff Name]" or the "Plaintiff"), as plaintiff in the above-captioned adversary proceeding, by and through its undersigned counsel, files this Complaint against [Defendant name] ("[Defendant Name]" or "Defendant") and respectfully alleges, upon knowledge, information, and belief, as follows:</w:t>
      </w:r>
    </w:p>
    <w:p>
      <w:pPr>
        <w:keepNext w:val="0"/>
        <w:spacing w:before="200" w:after="0" w:line="260" w:lineRule="exact"/>
        <w:ind w:left="36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avoid and recover postpetition transfers pursuant to 11 U.S.C. §§ 549 and 550. [add brief description of the basis of action].</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Sections 549 and 550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Bankruptcy Rules 7001, et seq.</w:t>
      </w:r>
    </w:p>
    <w:p>
      <w:pPr>
        <w:keepNext w:val="0"/>
        <w:spacing w:before="200" w:after="0" w:line="260" w:lineRule="exact"/>
        <w:ind w:left="360" w:right="0" w:firstLine="0"/>
        <w:jc w:val="center"/>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was appointed by the Court on [date] as Chapter 11 Trustee for the Debtors. The Debtors are corporations organized under the laws of the State of [State].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200" w:after="0" w:line="260" w:lineRule="exact"/>
        <w:ind w:left="36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paragraph (and subsequent ones if needed) should describe the relationship with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the Petition Date, [describe postpetition transfers to the defendant sought to be avoided (and the definition of such postpetition transfers)] (the "</w:t>
      </w:r>
      <w:r>
        <w:rPr>
          <w:rFonts w:ascii="Times New Roman" w:hAnsi="Times New Roman" w:eastAsia="Times New Roman" w:cs="Times New Roman"/>
          <w:b w:val="0"/>
          <w:sz w:val="24"/>
        </w:rPr>
        <w:t>Postpetition Transfers</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(Avoidance of Postpetition Transfers - 11 U.S.C. § 549)</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12.</w:t>
      </w:r>
      <w:r>
        <w:rPr>
          <w:rFonts w:ascii="Times New Roman" w:hAnsi="Times New Roman" w:eastAsia="Times New Roman" w:cs="Times New Roman"/>
          <w:b w:val="0"/>
          <w:sz w:val="24"/>
        </w:rPr>
        <w:t>]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Postpetition Transfers occurred after the Petition Date.</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Postpetition Transfers were transfers of property of the estate.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Postpetition Transfers were not authorized under the Bankruptcy Code or by this Court.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Plaintiff may avoid the Postpetition Transfers pursuant to Section 549 of the Bankruptcy Code.</w:t>
      </w:r>
    </w:p>
    <w:p>
      <w:pPr>
        <w:keepNext w:val="0"/>
        <w:spacing w:before="200" w:after="0" w:line="260" w:lineRule="exact"/>
        <w:ind w:left="360" w:right="0" w:firstLine="0"/>
        <w:jc w:val="center"/>
      </w:pPr>
      <w:r>
        <w:rPr>
          <w:rFonts w:ascii="Times New Roman" w:hAnsi="Times New Roman" w:eastAsia="Times New Roman" w:cs="Times New Roman"/>
          <w:b/>
          <w:sz w:val="24"/>
        </w:rPr>
        <w:t>COUNT II</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(Recovery of Avoided Postpetition Transfers - 11 U.S.C. § 550)</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17.</w:t>
      </w:r>
      <w:r>
        <w:rPr>
          <w:rFonts w:ascii="Times New Roman" w:hAnsi="Times New Roman" w:eastAsia="Times New Roman" w:cs="Times New Roman"/>
          <w:b w:val="0"/>
          <w:sz w:val="24"/>
        </w:rPr>
        <w:t>] of the Complaint as though fully set forth in this second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is entitled to avoid the Postpetition Transfers pursuant to Section 549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was the initial transferee of the Postpetition Transfers, or the entity for whose benefit the Postpetition Transfers were made, or was the immediate or mediate transferee of the initial transferee receiving the Transfers.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550(</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Plaintiff is entitled to recover the Postpetition Transfers (or the value of such property) from Defendant, plus interest thereon to the date of payment and the costs of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reason of the foregoing, Plaintiff is entitled to recover the proceeds or value of the Postpetition Transfers pursuant to Section 550(</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200" w:after="0" w:line="260" w:lineRule="exact"/>
        <w:ind w:left="360" w:right="0" w:firstLine="0"/>
        <w:jc w:val="center"/>
      </w:pPr>
      <w:r>
        <w:rPr>
          <w:rFonts w:ascii="Times New Roman" w:hAnsi="Times New Roman" w:eastAsia="Times New Roman" w:cs="Times New Roman"/>
          <w:b/>
          <w:sz w:val="24"/>
        </w:rPr>
        <w:t>PRAYER FOR RELIEF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Avoiding the Postpetition Transfers pursuant to 11 U.S.C. § 549;</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Ordering the return of the Postpetition Transfers, or alternatively, awarding the value of the avoided Postpetition Transfers from the Defendant pursuant to 11 U.S.C. § 550;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