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to Avoid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Statutory Lien under Section 545</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COMPLAINT TO AVOID [DEFENDANT'S NAME]'S LIEN PURSUANT TO 11 U.S.C. §545</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w:t>
      </w:r>
      <w:r>
        <w:rPr>
          <w:rFonts w:ascii="Times New Roman" w:hAnsi="Times New Roman" w:eastAsia="Times New Roman" w:cs="Times New Roman"/>
          <w:b w:val="0"/>
          <w:sz w:val="24"/>
        </w:rPr>
        <w:t>Plaintiff Name</w:t>
      </w:r>
      <w:r>
        <w:rPr>
          <w:rFonts w:ascii="Times New Roman" w:hAnsi="Times New Roman" w:eastAsia="Times New Roman" w:cs="Times New Roman"/>
          <w:b w:val="0"/>
          <w:sz w:val="24"/>
        </w:rPr>
        <w:t>]"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w:t>
      </w:r>
      <w:r>
        <w:rPr>
          <w:rFonts w:ascii="Times New Roman" w:hAnsi="Times New Roman" w:eastAsia="Times New Roman" w:cs="Times New Roman"/>
          <w:b w:val="0"/>
          <w:sz w:val="24"/>
        </w:rPr>
        <w:t>Defendant Name</w:t>
      </w:r>
      <w:r>
        <w:rPr>
          <w:rFonts w:ascii="Times New Roman" w:hAnsi="Times New Roman" w:eastAsia="Times New Roman" w:cs="Times New Roman"/>
          <w:b w:val="0"/>
          <w:sz w:val="24"/>
        </w:rPr>
        <w:t>]" or "</w:t>
      </w:r>
      <w:r>
        <w:rPr>
          <w:rFonts w:ascii="Times New Roman" w:hAnsi="Times New Roman" w:eastAsia="Times New Roman" w:cs="Times New Roman"/>
          <w:b w:val="0"/>
          <w:sz w:val="24"/>
        </w:rPr>
        <w:t>Defendant</w:t>
      </w:r>
      <w:r>
        <w:rPr>
          <w:rFonts w:ascii="Times New Roman" w:hAnsi="Times New Roman" w:eastAsia="Times New Roman" w:cs="Times New Roman"/>
          <w:b w:val="0"/>
          <w:sz w:val="24"/>
        </w:rPr>
        <w:t>") and respectfully alleges, upon knowledge, information, and belief, as follows:</w:t>
      </w:r>
    </w:p>
    <w:p>
      <w:pPr>
        <w:keepNext w:val="0"/>
        <w:spacing w:before="120" w:after="0" w:line="260" w:lineRule="exact"/>
        <w:ind w:left="360" w:right="0" w:firstLine="0"/>
        <w:jc w:val="left"/>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avoid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lien pursuant to 11 U.S.C. § 545(2). [add brief description of the basis of the action].</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"Court"),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7001(2)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 545(2)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[Month Day, 20__]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of the Petition Date, the Debtors were [describe debtors' interest in property] of [describe property subject to lien]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paragraph (and subsequent ones if needed) should describe the debtors' relationship with the defendant and the basis for the defendant's statutory lien in the property (and the definition of the lien)] (the "Lien").</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steps taken (or not taken) by the defendant under applicable statute to establish and perfect its lien]</w:t>
      </w:r>
    </w:p>
    <w:p>
      <w:pPr>
        <w:keepNext w:val="0"/>
        <w:spacing w:before="120" w:after="0" w:line="260" w:lineRule="exact"/>
        <w:ind w:left="360" w:right="0" w:firstLine="0"/>
        <w:jc w:val="left"/>
      </w:pPr>
      <w:r>
        <w:rPr>
          <w:rFonts w:ascii="Times New Roman" w:hAnsi="Times New Roman" w:eastAsia="Times New Roman" w:cs="Times New Roman"/>
          <w:b/>
          <w:sz w:val="24"/>
        </w:rPr>
        <w:t>COUNT I</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(Avoidance of Lien - 11 U.S.C. § 545(2) and [state or federal law])</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13.</w:t>
      </w:r>
      <w:r>
        <w:rPr>
          <w:rFonts w:ascii="Times New Roman" w:hAnsi="Times New Roman" w:eastAsia="Times New Roman" w:cs="Times New Roman"/>
          <w:b w:val="0"/>
          <w:sz w:val="24"/>
        </w:rPr>
        <w:t>] of the Complaint as though fully set forth in this first cause of action.</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[State or federal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lien on the Property by [describe necessary steps to obtain and perfect the statutory lien.]</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failed to properly perfect the Lien in accordance with [state or federal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through the [relevant records] fails to disclose any [name of relevant filing] naming Defendant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party as of the Petition Date. See [relevant records]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545(2) of the Bankruptcy Code, Plaintiff (as debtor in possession) has the rights and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hypothetical bona fide purchaser as of the Petition Date.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Section 545(2) of the Bankruptcy Code, the Lien against the Property was not perfected or enforceable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 that purchases such property at the time of commencement of the case whether or not such purchaser exists.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Based upon the foregoing, Plaintiff may avoid Defendant's Lien pursuant to Section 545(2) of the Bankruptcy Code.</w:t>
      </w:r>
    </w:p>
    <w:p>
      <w:pPr>
        <w:keepNext w:val="0"/>
        <w:spacing w:before="120" w:after="0" w:line="260" w:lineRule="exact"/>
        <w:ind w:left="360" w:right="0" w:firstLine="0"/>
        <w:jc w:val="left"/>
      </w:pPr>
      <w:r>
        <w:rPr>
          <w:rFonts w:ascii="Times New Roman" w:hAnsi="Times New Roman" w:eastAsia="Times New Roman" w:cs="Times New Roman"/>
          <w:b/>
          <w:sz w:val="24"/>
        </w:rPr>
        <w:t>PRAYER FOR RELIEF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determining that Defendant's Lien against the Property is avoidable pursuant to 11 U.S.C. § 545(2);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