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(the Company), the compensation now and hereafter paid to me, and [any other relevant consideration, if any (e.g., training, access to Company confidential information / customers,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Company's Rights; Non-disclosure.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my employment with the Company and at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"Confidential and Proprietary Information" shall mean any and all confidential and/or proprietary knowledge, data or information of the Company. By way of illustration but not limitation, Confidential and Proprietary Information includes tangible and intangible information relating to formulations, products, processes, know-how, designs, formulas, methods, developmental or experimental work, clinical data, improvements, discoveries, plans for research, new products, marketing and selling, business plans, budgets and unpublished financial statements, licenses, prices and costs, suppliers and customers.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agree that (i) all Company Inventions (as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 Protected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In accordance with Tenn. Code § 50-1-108, nothing in this Agreement is intended to prohibit disclosures with respect to sexual harassment in the workplace.</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 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____________________ </w:t>
      </w:r>
    </w:p>
    <w:p>
      <w:pPr>
        <w:keepNext w:val="0"/>
        <w:spacing w:before="60" w:after="0" w:line="260" w:lineRule="exact"/>
        <w:ind w:left="720" w:right="0" w:firstLine="0"/>
        <w:jc w:val="both"/>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