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Consent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TRADEMARK CONSENT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Trademark Consent Agreement (“Consent Agreement”) is made by and between [APPLICANT NAME] (“Applicant”),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[ENTITY TYPE]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and [SENIOR USER’S NAME] (“[SENIOR USER]”),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[ENTITY TYPE]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the “Parties”).</w:t>
      </w:r>
    </w:p>
    <w:p>
      <w:pPr>
        <w:keepNext w:val="0"/>
        <w:spacing w:before="200" w:after="0" w:line="260" w:lineRule="exact"/>
        <w:ind w:left="720" w:right="0" w:firstLine="0"/>
        <w:jc w:val="both"/>
      </w:pPr>
      <w:r>
        <w:rPr>
          <w:rFonts w:ascii="Times New Roman" w:hAnsi="Times New Roman" w:eastAsia="Times New Roman" w:cs="Times New Roman"/>
          <w:b w:val="0"/>
          <w:sz w:val="24"/>
        </w:rPr>
        <w:t>WHEREAS, in or around [YEAR OF FIRST USE], [SENIOR USER] adopted, and since then has continuously used the mark [SENIOR USER’S MARK] in United States commerce in connection with [GOODS/SERVICES];</w:t>
      </w:r>
    </w:p>
    <w:p>
      <w:pPr>
        <w:keepNext w:val="0"/>
        <w:spacing w:before="200" w:after="0" w:line="260" w:lineRule="exact"/>
        <w:ind w:left="720" w:right="0" w:firstLine="0"/>
        <w:jc w:val="both"/>
      </w:pPr>
      <w:r>
        <w:rPr>
          <w:rFonts w:ascii="Times New Roman" w:hAnsi="Times New Roman" w:eastAsia="Times New Roman" w:cs="Times New Roman"/>
          <w:b w:val="0"/>
          <w:sz w:val="24"/>
        </w:rPr>
        <w:t>WHEREAS, [SENIOR USER] owns U.S. Trademark Registration No. [NUMBER] for the mark [SENIOR USER’S MARK] in International Class [NUMBER] for [GOODS/SERVICES LISTED IN REGISTRATION], and U.S. Trademark Registration No. [NUMBER] for the mark [SENIOR USER’S MARK] in International Class [NUMBER] for [GOODS/SERVICES LISTED IN REGISTRATION];</w:t>
      </w:r>
    </w:p>
    <w:p>
      <w:pPr>
        <w:keepNext w:val="0"/>
        <w:spacing w:before="200" w:after="0" w:line="260" w:lineRule="exact"/>
        <w:ind w:left="720" w:right="0" w:firstLine="0"/>
        <w:jc w:val="both"/>
      </w:pPr>
      <w:r>
        <w:rPr>
          <w:rFonts w:ascii="Times New Roman" w:hAnsi="Times New Roman" w:eastAsia="Times New Roman" w:cs="Times New Roman"/>
          <w:b w:val="0"/>
          <w:sz w:val="24"/>
        </w:rPr>
        <w:t>WHEREAS, on [APPLICATION DATE], Applicant applied to register the mark [APPLICANT’S MARK] with the U.S. Patent and Trademark Office (USPTO) for [GOODS/SERVICES LISTED IN APPLICATION] in International Class [NUMBER], as shown in U.S. Trademark Application Serial. No. [NUMBER] (“Applicant’s Mark”);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Action dated [DATE], the USPTO rejected registration of Applicant’s Mark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likelihood of confusion with [SENIOR USER’S] U.S. Registration No. [NUMBER] for [SENIOR USER’S MARK];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after considering the marketplace realities, the Parties agree that there is no likelihood of confusion caused by the concurrent registration and use of their respective marks in connection with their respective [GOODS/SERVICES], and desire to avoid any conflict with the other Party’s use and registrations of its marks;</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terms, covenants and conditions set forth herein,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believe and agree that consumer confusion is unlikely to occur from the concurrent use and registration of their respective marks in accordance with the terms and conditions of this Consent Agreement. The Parties base this conclusion on differences between the [CHANNELS OF TRADE / TARGETED CUSTOMERS / PRICES / NATURE OF GOODS OR SERVICES / LENGTH OF CURRENT COEXISTENCE / OTHER RELEVANT LIKELIHOOD OF CONFUSION FACTORS]. For example, Applicant does not offer the goods identified in [SENIOR USER’S U.S. TRADEMARK REGISTRATIONS]. [ADD DETAILS FOR DIFFERENCES NOTED].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Therefore, [SENIOR USER] consents to Applicant’s use and registration of Applicant’s Mark for Applicant’s applied-for services as reflected in U.S. Trademark Application Serial No. [NUMBER].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agree to work together to address and avoid any possible future consumer confusion. In the unlikely event that either Party becomes aware of any actual confusion, each Party agrees that it will notify the other Party in writing and agree on steps to eliminate or avoid such confusion.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agree to enter into and sign such further documents and agreements as may be necessary to effect and further the intent of this Consent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Consent Agreement shall inure to the benefit of and be binding upon and enforceable against each Party and its respective parents, subsidiaries, affiliates, successors and assignees.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Consent Agreement constitutes the entire agreement and no modification shall be effective unless in writing executed by both Parties. If any one or more of the clauses of this Consent Agreement is found to be invalid or unenforceable, the validity of the remaining clauses shall not be affected and the Parties agree to replace the clauses with valid and enforceable clauses through mutual agreement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represents that the person signing on its behalf below is authorized to bind the Party and make this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binding and enforceable Consent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execute this Consent Agreement.</w:t>
      </w:r>
    </w:p>
    <w:p>
      <w:pPr>
        <w:keepNext w:val="0"/>
        <w:spacing w:before="120" w:after="0" w:line="260" w:lineRule="exact"/>
        <w:ind w:left="360" w:right="0" w:firstLine="0"/>
        <w:jc w:val="left"/>
      </w:pPr>
      <w:r>
        <w:rPr>
          <w:rFonts w:ascii="Times New Roman" w:hAnsi="Times New Roman" w:eastAsia="Times New Roman" w:cs="Times New Roman"/>
          <w:b w:val="0"/>
          <w:sz w:val="24"/>
        </w:rPr>
        <w:t>[PARTY 1]</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[PARTY 2]</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