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Convertible Promissory Note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 xml:space="preserve">THIS CONVERTIBLE PROMISSORY NOTE (THIS “NOTE”) AND ANY OTHER SECURITIES THAT MAY BE ACQUIRED PURSUANT TO CONVERSION OF THIS NOTE HAVE NOT BEEN REGISTERED UNDER THE SECURITIES ACT OF 1933, AS AMENDED (THE “SECURITIES ACT”), OR UNDER THE SECURITIES LAWS OF ANY STATE OR OTHER JURISDICTION. THIS NOTE AND SUCH OTHER SECURITIES MAY NOT BE SOLD, OFFERED FOR SALE, PLEDGED, HYPOTHECATED OR OTHERWISE DISPOSED OF IN THE ABSENCE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REGISTRATION STATEMENT IN EFFECT WITH RESPECT TO THIS NOTE OR SUCH OTHER SECURITIES UNDER THE SECURITIES ACT AND ANY OTHER APPLICABLE SECURITIES LAW, OR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OPINION OF COUNSEL SATISFACTORY TO THE BORROWER THAT SUCH REGISTRATION AND LISTING ARE NOT REQUIRED PURSUANT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VALID EXEMPTION THEREFROM UNDER THE SECURITIES ACT AND ANY OTHER APPLICABLE SECURITIES LAWS.</w:t>
      </w:r>
    </w:p>
    <w:p>
      <w:pPr>
        <w:keepNext w:val="0"/>
        <w:spacing w:before="120" w:after="0" w:line="260" w:lineRule="exact"/>
        <w:ind w:left="360" w:right="0" w:firstLine="0"/>
        <w:jc w:val="left"/>
      </w:pPr>
      <w:r>
        <w:rPr>
          <w:rFonts w:ascii="Times New Roman" w:hAnsi="Times New Roman" w:eastAsia="Times New Roman" w:cs="Times New Roman"/>
          <w:b/>
          <w:sz w:val="24"/>
        </w:rPr>
        <w:t>CONVERTIBLE PROMISSORY NOTE</w:t>
      </w:r>
    </w:p>
    <w:p>
      <w:pPr>
        <w:keepNext w:val="0"/>
        <w:spacing w:before="200" w:after="0" w:line="260" w:lineRule="exact"/>
        <w:ind w:left="720" w:right="0" w:firstLine="0"/>
        <w:jc w:val="both"/>
      </w:pPr>
      <w:r>
        <w:rPr>
          <w:rFonts w:ascii="Times New Roman" w:hAnsi="Times New Roman" w:eastAsia="Times New Roman" w:cs="Times New Roman"/>
          <w:b w:val="0"/>
          <w:sz w:val="24"/>
        </w:rPr>
        <w:t>[Principal Amount]</w:t>
      </w:r>
    </w:p>
    <w:p>
      <w:pPr>
        <w:keepNext w:val="0"/>
        <w:spacing w:before="200" w:after="0" w:line="260" w:lineRule="exact"/>
        <w:ind w:left="720" w:right="0" w:firstLine="0"/>
        <w:jc w:val="both"/>
      </w:pPr>
      <w:r>
        <w:rPr>
          <w:rFonts w:ascii="Times New Roman" w:hAnsi="Times New Roman" w:eastAsia="Times New Roman" w:cs="Times New Roman"/>
          <w:b w:val="0"/>
          <w:sz w:val="24"/>
        </w:rPr>
        <w:t>[Note Series]</w:t>
      </w:r>
    </w:p>
    <w:p>
      <w:pPr>
        <w:keepNext w:val="0"/>
        <w:spacing w:before="200" w:after="0" w:line="260" w:lineRule="exact"/>
        <w:ind w:left="720" w:right="0" w:firstLine="0"/>
        <w:jc w:val="right"/>
      </w:pPr>
      <w:r>
        <w:rPr>
          <w:rFonts w:ascii="Times New Roman" w:hAnsi="Times New Roman" w:eastAsia="Times New Roman" w:cs="Times New Roman"/>
          <w:b w:val="0"/>
          <w:sz w:val="24"/>
        </w:rPr>
        <w:t>[Date]</w:t>
      </w:r>
    </w:p>
    <w:p>
      <w:pPr>
        <w:keepNext w:val="0"/>
        <w:spacing w:before="200" w:after="0" w:line="260" w:lineRule="exact"/>
        <w:ind w:left="720" w:right="0" w:firstLine="0"/>
        <w:jc w:val="right"/>
      </w:pPr>
      <w:r>
        <w:rPr>
          <w:rFonts w:ascii="Times New Roman" w:hAnsi="Times New Roman" w:eastAsia="Times New Roman" w:cs="Times New Roman"/>
          <w:b w:val="0"/>
          <w:sz w:val="24"/>
        </w:rPr>
        <w:t>[City, State]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value received, [Name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[___________] corporation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xml:space="preserve">” or “Borrower”), promises to pay to [Name of Lender] (the “Holder”) the principal amount of [_____] dollars ($[_____]). Simple interest shall accrue from the date of this Note on the unpaid principal amount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equal to [______]% per annum. </w:t>
      </w:r>
      <w:r>
        <w:rPr>
          <w:rFonts w:ascii="Times New Roman" w:hAnsi="Times New Roman" w:eastAsia="Times New Roman" w:cs="Times New Roman"/>
          <w:b/>
          <w:sz w:val="24"/>
        </w:rPr>
        <w:t>[Alternate Clause to second sentence in opening paragraph:</w:t>
      </w:r>
      <w:r>
        <w:rPr>
          <w:rFonts w:ascii="Times New Roman" w:hAnsi="Times New Roman" w:eastAsia="Times New Roman" w:cs="Times New Roman"/>
          <w:b w:val="0"/>
          <w:sz w:val="24"/>
        </w:rPr>
        <w:t xml:space="preserve"> Interest shall accrue from the date of this Note on the unpaid principal amount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equal to [______]% per annum, compounded annually.</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[Drafting Note to alternate clause to second sentence in opening paragraph:</w:t>
      </w:r>
      <w:r>
        <w:rPr>
          <w:rFonts w:ascii="Times New Roman" w:hAnsi="Times New Roman" w:eastAsia="Times New Roman" w:cs="Times New Roman"/>
          <w:b w:val="0"/>
          <w:sz w:val="24"/>
        </w:rPr>
        <w:t xml:space="preserve"> This Note is currently drafted to pay simple interest. Use the bracketed language if the Note will pay compounded interest instead. Also see the alternate clause to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This Note is subject to the following terms and conditions. This Note and any other note issued contemporaneously herewith shall be referred to collectively as the “Notes” and the Holder and any other holder of the Notes shall be referred to collectively as the “Holders.”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Interest” means [fifty-one] percent ([51])% or more.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Maturity</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Principal and any accrued but unpaid interest under this Note shall be due and payable upon demand by the Holder at any time on or after [__________] (the “</w:t>
      </w:r>
      <w:r>
        <w:rPr>
          <w:rFonts w:ascii="Times New Roman" w:hAnsi="Times New Roman" w:eastAsia="Times New Roman" w:cs="Times New Roman"/>
          <w:b w:val="0"/>
          <w:sz w:val="24"/>
        </w:rPr>
        <w:t>Maturity Date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Mandatory Conversion on Qualified Financing</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the Company issues and sells equity securities to third party investors (“Investors”) on or before the Maturity Date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financing with total proceeds to the Company of not less than $[______________] (excluding the conversion of this Note)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Financing”), then the outstanding principal amount of this Note, together with any accrued but unpaid interest, shall automatically convert (on the date of the closing of such Qualified Financing) in whole without any further action by Holder into the equity securities issued in such Qualified Financing (the “</w:t>
      </w:r>
      <w:r>
        <w:rPr>
          <w:rFonts w:ascii="Times New Roman" w:hAnsi="Times New Roman" w:eastAsia="Times New Roman" w:cs="Times New Roman"/>
          <w:b w:val="0"/>
          <w:sz w:val="24"/>
        </w:rPr>
        <w:t>New Securities</w:t>
      </w:r>
      <w:r>
        <w:rPr>
          <w:rFonts w:ascii="Times New Roman" w:hAnsi="Times New Roman" w:eastAsia="Times New Roman" w:cs="Times New Roman"/>
          <w:b w:val="0"/>
          <w:sz w:val="24"/>
        </w:rPr>
        <w:t xml:space="preserv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conversion price equal to the lesser of (i) [______________] percent ([____]%) of the price paid by the Investors purchasing the equity securities in such Qualified Financing and (ii) the price equal to the quotient of $[______________] divided by the aggregate number of outstanding shares of the Company’s common stock as of immediately prior to the initial closing of the Qualified Financing (assuming full conversion or exercise of all convertible and exercisable securities then outstanding other than the Notes).  Other than the method of payment for such equity securities (i.e., by conversion of the Note), the sale and offering of such equity securities to Holder shall be on the same terms and conditions as given to the Investors in such Qualified Financing.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conversion pursuant to this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(b)</w:t>
      </w:r>
      <w:r>
        <w:rPr>
          <w:rFonts w:ascii="Times New Roman" w:hAnsi="Times New Roman" w:eastAsia="Times New Roman" w:cs="Times New Roman"/>
          <w:b w:val="0"/>
          <w:sz w:val="24"/>
        </w:rPr>
        <w:t>, Holder will execute and be bound by, and receive the benefits of, the terms and conditions on any documents or agreements being entered into by the Investors in the Qualified Financing.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Conversion on Non-Qualified Financing</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the Company issues and sells equity securities to Investors on or before the Maturity Date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financing with total proceeds to the Company of less than $[______________] (excluding the conversion of this Note)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“Non-Qualified Financing”), then Holder may elect to convert the outstanding principal amount of the Note, together with any accrued but unpaid interest, into such equity securities issued in such Non-Qualified Financing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conversion price equal to [______________] percent ([______________]%) of the price paid by the Investors purchasing the equity securities in such Non-Qualified Financing. The Company shall provide written notice of any Non-Qualified Financing at least [thirty (30)] days prior to the closing thereof, and Holder shall provide prior written notice of its intent to convert under this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to the Company at least [ten (10)] days prior to such closing date. Other than the method of payment for such equity securities (i.e., by conversion of the Note), the sale and offering of such equity securities to Holder shall be on the same terms and conditions as given to the Investors in such Non-Qualified Financing.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conversion pursuant to this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(c)</w:t>
      </w:r>
      <w:r>
        <w:rPr>
          <w:rFonts w:ascii="Times New Roman" w:hAnsi="Times New Roman" w:eastAsia="Times New Roman" w:cs="Times New Roman"/>
          <w:b w:val="0"/>
          <w:sz w:val="24"/>
        </w:rPr>
        <w:t>, Holder will execute and be bound by, and receive the benefits of, the terms and conditions on any documents or agreements being entered into by the Investors in the Non-Qualified Financing.</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Conversion on Change of Control</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Control (as defined below) prior to repayment in full of the Note, immediately prior to such Change of Control, the outstanding principal amount of the Note, together with any accrued but unpaid interest, shall convert into shares of the Company’s common stock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per share equal to the quotient obtained by dividing (x) $[______________] by (y) the sum of the total number of shares of common stock outstanding (assuming full conversion or exercise of all convertible and exercisable securities then outstanding other than the Notes);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Control, in lieu of converting this Note into shares of the Company’s common stock pursuant to this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the Holder may elect to accelerate the Maturity Date of this Note such that the outstanding principal and any accrued but unpaid interest </w:t>
      </w:r>
      <w:r>
        <w:rPr>
          <w:rFonts w:ascii="Times New Roman" w:hAnsi="Times New Roman" w:eastAsia="Times New Roman" w:cs="Times New Roman"/>
          <w:b/>
          <w:sz w:val="24"/>
        </w:rPr>
        <w:t xml:space="preserve">[Optional clause to Section </w:t>
      </w:r>
      <w:r>
        <w:rPr>
          <w:rFonts w:ascii="Times New Roman" w:hAnsi="Times New Roman" w:eastAsia="Times New Roman" w:cs="Times New Roman"/>
          <w:b/>
          <w:sz w:val="24"/>
        </w:rPr>
        <w:t>1.</w:t>
      </w:r>
      <w:r>
        <w:rPr>
          <w:rFonts w:ascii="Times New Roman" w:hAnsi="Times New Roman" w:eastAsia="Times New Roman" w:cs="Times New Roman"/>
          <w:b/>
          <w:sz w:val="24"/>
        </w:rPr>
        <w:t>(d)</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 plus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repayment premium equal to [______________] percent [____]% of the outstanding principal of this Note] </w:t>
      </w:r>
      <w:r>
        <w:rPr>
          <w:rFonts w:ascii="Times New Roman" w:hAnsi="Times New Roman" w:eastAsia="Times New Roman" w:cs="Times New Roman"/>
          <w:b/>
          <w:sz w:val="24"/>
        </w:rPr>
        <w:t xml:space="preserve">[Drafting Note to optional clause to Section </w:t>
      </w:r>
      <w:r>
        <w:rPr>
          <w:rFonts w:ascii="Times New Roman" w:hAnsi="Times New Roman" w:eastAsia="Times New Roman" w:cs="Times New Roman"/>
          <w:b/>
          <w:sz w:val="24"/>
        </w:rPr>
        <w:t>1.</w:t>
      </w:r>
      <w:r>
        <w:rPr>
          <w:rFonts w:ascii="Times New Roman" w:hAnsi="Times New Roman" w:eastAsia="Times New Roman" w:cs="Times New Roman"/>
          <w:b/>
          <w:sz w:val="24"/>
        </w:rPr>
        <w:t>(d)</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noteholder may negotiate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premium return on investment during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sale or other change of control of the Company, sometimes as high as 2x or 3x the principal amount.] shall become due and payable as of the date of the Change of Control. Before the Holder shall be entitled to convert this Note into shares of the Company’s common stock pursuant to this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the Holder will execute and be bound by, and receive the benefits of, the terms and conditions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stock purchase agreement reasonably acceptable to the Company containing customary representations and warranties and transfer restrictions. The term “</w:t>
      </w:r>
      <w:r>
        <w:rPr>
          <w:rFonts w:ascii="Times New Roman" w:hAnsi="Times New Roman" w:eastAsia="Times New Roman" w:cs="Times New Roman"/>
          <w:b w:val="0"/>
          <w:sz w:val="24"/>
        </w:rPr>
        <w:t>Change of Control</w:t>
      </w:r>
      <w:r>
        <w:rPr>
          <w:rFonts w:ascii="Times New Roman" w:hAnsi="Times New Roman" w:eastAsia="Times New Roman" w:cs="Times New Roman"/>
          <w:b w:val="0"/>
          <w:sz w:val="24"/>
        </w:rPr>
        <w:t xml:space="preserve">” shall mean the sale, conveyance or other disposition of all or substantially all of the Company’s property or business, or the Company’s merger with or into or consolidation with any other corporation, limited liability company or other entity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 owned subsidiary of the Company);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term “Change of Control” shall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of the Company effected exclusively for the purpose of changing the domicile of the Company, (b)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financing in which the Company is the surviving corporation, or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in which the stockholders of the Company immediately prior to the transaction own 50% or more of the voting power of the surviving corporation following the transaction.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Conversion on Maturity Date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the principal and accrued interest under this Note have not converted into equity securities of the Company prior to the Maturity Date, Holder may elect to convert the outstanding principal amount of the Note, together with all accrued but unpaid interest to the date of conversion, into shares of common stock of the Company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equal to the quotient of $[______________] divided by the aggregate number of outstanding shares of the Company’s common stock as of immediately prior to the Maturity Date (assuming full conversion or exercise of all convertible and exercisable securities then outstanding other than the Notes). Holder shall provide written notice of the intent to convert under this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to the Company prior to the Maturity Date.</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Mechanics of Conversion.</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Upon the occurrence of the event specified in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this Note shall be converted automatically without any further action by Holder and whether or not this Note is surrendered to Borrower or its transfer agent;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Borrower shall not be obligated to issue certificates evidencing the shares of the New Securities issuable upon such conversion unless this Note is either delivered to Borrower or its transfer agent as provided below, or Holder notifies Borrower or its transfer agent in writing that this Note has been lost, stolen or destroyed and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satisfactory to Borrower to indemnify Borrower from any loss incurred by it in connection with such Note. Upon the occurrence of such automatic conversion, Holder shall surrender the Note at the office of Borrower or any transfer agent for the shares of the New Securities. Thereupon, there shall be issued and delivered to Holder, at such office and in its name as shown on such surrendered Note,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for the number of shares of New Securities into which the Note was convertible on the date on which such automatic conversion occurred. 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specified in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or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this Note shall be converted only upon the delivery by Holder to the office of Borrower or its transfer agent of (i) this Note or (ii) written notification that this Note has been lost, stolen or destroyed and the subsequent execution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satisfactory to Borrower indemnifying Borrower from any loss incurred by it in connection with such Note. Thereupon, there shall be issued and delivered to Holder, at such office and in its name as shown on such Note,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for the number of shares of common stock into which the Note was convertible on the date on which such delivery occurred.</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Fractional Shares.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No fractional share shall be issued upon the conversion of this Note. All shares issuable upon conversion of the outstanding amount of this Note shall be aggregated for purposes of determining whether the conversion would result in the issuance of any fractional share. If, after the aforementioned aggregation, the conversion would result in the issuance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New Securities or common stock, Borrower shall, in lieu of issuing any fractional share, pay Holder who is otherwise entitled to such fraction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in cash equal to the fair market value of such fraction on the date of conversion (as determined in good faith by the Board of Directors of Borrower (the “</w:t>
      </w:r>
      <w:r>
        <w:rPr>
          <w:rFonts w:ascii="Times New Roman" w:hAnsi="Times New Roman" w:eastAsia="Times New Roman" w:cs="Times New Roman"/>
          <w:b w:val="0"/>
          <w:sz w:val="24"/>
        </w:rPr>
        <w:t>Board of Directors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principal balance of this Note shall bear simple interest at the rate of [______] percent ([____]%) per annum. </w:t>
      </w:r>
      <w:r>
        <w:rPr>
          <w:rFonts w:ascii="Times New Roman" w:hAnsi="Times New Roman" w:eastAsia="Times New Roman" w:cs="Times New Roman"/>
          <w:b/>
          <w:sz w:val="24"/>
        </w:rPr>
        <w:t xml:space="preserve">[Alternate clause to first sentence of Section </w:t>
      </w:r>
      <w:r>
        <w:rPr>
          <w:rFonts w:ascii="Times New Roman" w:hAnsi="Times New Roman" w:eastAsia="Times New Roman" w:cs="Times New Roman"/>
          <w:b/>
          <w:sz w:val="24"/>
        </w:rPr>
        <w:t>4.</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The principal balance of this Note shall bear compounded interest at the rate of [____] percent ([__]%) per annum.</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[Drafting Note to alternate clause to first sentence of Section </w:t>
      </w:r>
      <w:r>
        <w:rPr>
          <w:rFonts w:ascii="Times New Roman" w:hAnsi="Times New Roman" w:eastAsia="Times New Roman" w:cs="Times New Roman"/>
          <w:b/>
          <w:sz w:val="24"/>
        </w:rPr>
        <w:t>4.</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Use the bracketed sentence if interest will be compounded.</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Interest shall be calculated on the basis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[three hundred sixty (360)] day year for the actual number of days elapsed. </w:t>
      </w:r>
      <w:r>
        <w:rPr>
          <w:rFonts w:ascii="Times New Roman" w:hAnsi="Times New Roman" w:eastAsia="Times New Roman" w:cs="Times New Roman"/>
          <w:b/>
          <w:sz w:val="24"/>
        </w:rPr>
        <w:t xml:space="preserve">[Drafting Note to second sentence of Section </w:t>
      </w:r>
      <w:r>
        <w:rPr>
          <w:rFonts w:ascii="Times New Roman" w:hAnsi="Times New Roman" w:eastAsia="Times New Roman" w:cs="Times New Roman"/>
          <w:b/>
          <w:sz w:val="24"/>
        </w:rPr>
        <w:t>4.</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Interest calculations are often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360-day year (i.e., 30 days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 for simplicity of calculations, but interest calculations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365-day year are not uncommon.</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Interest shall commence with the date hereof and shall continue on the outstanding principal balance hereof until paid in full or converted.</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All payments of principal and interest shall be in lawful money of the United States of America. Payment on this Note shall be applied first to accrued interest, and thereafter to the outstanding principal balance hereof. If any payments on this Note become due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holiday under the laws of the State of [______], such payment shall be made on the next succeeding business day and such extension of time shall be included in computing interest in connection with such payment.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the Borrower.</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Borrower represents and warrants to Holder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validly existing and in good standing under the laws of the State of [______]. The Borrower has all requisite corporate power and authority to carry on its business as now conducted and as proposed to be conducted. The Borrower is duly qualified to transact business and is in good standing in each jurisdiction in which the failure so to qualify would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its business or properties.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Borrower has all requisite corporate power to execute, deliver and perform its obligations under the terms of this Note.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All corporate action on the part of the Borrower, the Board of Directors and its stockholders necessary for the authorization, execution, issuance and delivery of this Note by Borrower and the performance of the Borrower’s obligations hereunder has been taken.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This Note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binding obligation of the Borrower enforceable in accordance with its terms, subject to laws of general application relating to bankruptcy, insolvency, the relief of debtors and, with respect to rights to indemnity, subject to federal and state securities laws.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Any securities issued upon conversion of this Note, when issued in compliance with the provisions of this Note, will be validly issued, fully paid, nonassessable, free of any liens or encumbrances and issued in compliance with all applicable federal and securities laws.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Borrower is not in violation of or in default under its charter documents or any material judgment, order, writ, decree, statute, rule or regulation that is applicable to the Borrower or any material mortgage, indenture, agreement, instrument or contract to which the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Borrower has exercised reasonable care to determine whether any Company Covered Person (as defined below) is subject to any of the “bad actor” disqualifications described in Rule 506(d)(1)(i) through (viii), as modified by Rules 506(d)(2) and (d)(3), under the Securities Act (“</w:t>
      </w:r>
      <w:r>
        <w:rPr>
          <w:rFonts w:ascii="Times New Roman" w:hAnsi="Times New Roman" w:eastAsia="Times New Roman" w:cs="Times New Roman"/>
          <w:b w:val="0"/>
          <w:sz w:val="24"/>
        </w:rPr>
        <w:t>Disqualification Events</w:t>
      </w:r>
      <w:r>
        <w:rPr>
          <w:rFonts w:ascii="Times New Roman" w:hAnsi="Times New Roman" w:eastAsia="Times New Roman" w:cs="Times New Roman"/>
          <w:b w:val="0"/>
          <w:sz w:val="24"/>
        </w:rPr>
        <w:t xml:space="preserve">”). To the Borrower’s knowledge, no Company Covered Person is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Disqualification Event. The Company has complied, to the extent required, with any disclosure obligations under Rule 506(e) under the Securities Act.  For purposes of this Note, “</w:t>
      </w:r>
      <w:r>
        <w:rPr>
          <w:rFonts w:ascii="Times New Roman" w:hAnsi="Times New Roman" w:eastAsia="Times New Roman" w:cs="Times New Roman"/>
          <w:b w:val="0"/>
          <w:sz w:val="24"/>
        </w:rPr>
        <w:t>Company Covered Persons</w:t>
      </w:r>
      <w:r>
        <w:rPr>
          <w:rFonts w:ascii="Times New Roman" w:hAnsi="Times New Roman" w:eastAsia="Times New Roman" w:cs="Times New Roman"/>
          <w:b w:val="0"/>
          <w:sz w:val="24"/>
        </w:rPr>
        <w:t xml:space="preserve">” are those persons specified in Rule 506(d)(1) under the Securities Act;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that Company Covered Persons do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Holder or (b) any person or entity that is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affiliated issuer of the Borrower solely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relationship between the Borrower and any Holder.</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Assuming the accuracy of the representations and warranties of the Holder contained in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below, the offer, issue and sale of this Note and the securities issuable upon the conversion thereof are and will be exempt from the registration and prospectus delivery requirements of the Securities Act, and have been registered or qualified (or are exempt from registration and qualification) under the registration, permit or qualification requirements of all applicable state securities laws.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by Holder.</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By acceptance of this Note, Holder represents and warrants to Borrower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Holder has all requisite corporate power to execute, deliver and perform its obligations under the terms of this Note.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Holder is aware that the Note (and any securities issued upon conversion of the Notes, herein, collectively, the “</w:t>
      </w:r>
      <w:r>
        <w:rPr>
          <w:rFonts w:ascii="Times New Roman" w:hAnsi="Times New Roman" w:eastAsia="Times New Roman" w:cs="Times New Roman"/>
          <w:b w:val="0"/>
          <w:sz w:val="24"/>
        </w:rPr>
        <w:t>Securities</w:t>
      </w:r>
      <w:r>
        <w:rPr>
          <w:rFonts w:ascii="Times New Roman" w:hAnsi="Times New Roman" w:eastAsia="Times New Roman" w:cs="Times New Roman"/>
          <w:b w:val="0"/>
          <w:sz w:val="24"/>
        </w:rPr>
        <w:t>”) has not been registered under the Securities Act, and that the Securities are deemed to constitute “restricted securities” under Rule 144 promulgated under the Securities Act. Holder understands that the Company has no present intention of registering the Securities.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Holder understands that the Securities must be held indefinitely unless they are subsequently registered under the Securities Act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from such registration is available.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By acceptance of this Note, Holder represents to the Company that it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as defined in Rule 501(</w:t>
      </w:r>
      <w:r>
        <w:rPr>
          <w:rFonts w:ascii="Times New Roman" w:hAnsi="Times New Roman" w:eastAsia="Times New Roman" w:cs="Times New Roman"/>
          <w:b/>
          <w:sz w:val="24"/>
        </w:rPr>
        <w:t>a</w:t>
      </w:r>
      <w:r>
        <w:rPr>
          <w:rFonts w:ascii="Times New Roman" w:hAnsi="Times New Roman" w:eastAsia="Times New Roman" w:cs="Times New Roman"/>
          <w:b w:val="0"/>
          <w:sz w:val="24"/>
        </w:rPr>
        <w:t>) of Regulation D under the Securities Act. Holder also represents that by reason of its business and financial experience, that it is capable of evaluating the merits and risks of its investment in the Company and has the capacity to protect its own interests.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Holder is accepting this Note for its own account for investment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its resale or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Holder has had the opportunity to discuss the Company’s business, management and financial affairs with management of the Company and has had the opportunity to obtain any additional information necessary to evaluate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Company. Holder has also had the opportunity to ask questions of and receive answers from the Company and its management regarding the Company’s business and the terms and conditions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this Note.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Holder has been advised to consult with its own attorney regarding legal matters concerning the Company and to consult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tax adviser regarding the tax consequences of investing in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Holder represents and warrants that neither (</w:t>
      </w:r>
      <w:r>
        <w:rPr>
          <w:rFonts w:ascii="Times New Roman" w:hAnsi="Times New Roman" w:eastAsia="Times New Roman" w:cs="Times New Roman"/>
          <w:b/>
          <w:sz w:val="24"/>
        </w:rPr>
        <w:t>A</w:t>
      </w:r>
      <w:r>
        <w:rPr>
          <w:rFonts w:ascii="Times New Roman" w:hAnsi="Times New Roman" w:eastAsia="Times New Roman" w:cs="Times New Roman"/>
          <w:b w:val="0"/>
          <w:sz w:val="24"/>
        </w:rPr>
        <w:t>) Holder nor (B) any entity that controls Holder or is under the control of, or under common control with Holder, is subject to any Disqualification Event, except for Disqualification Events covered by Rule 506(d)(2)(ii) or (iii) or (d)(3) under the Securities Act and disclosed in writing in reasonable detail to the Company. Holder represents that Holder has exercised reasonable care to determine the accuracy of the representation made by Holder in this paragraph, and agrees to notify the Company if Holder becomes aware of any fact that makes the representation given by Holder hereunder inaccurate.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Holder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United States person (as defined by Section 7701(</w:t>
      </w:r>
      <w:r>
        <w:rPr>
          <w:rFonts w:ascii="Times New Roman" w:hAnsi="Times New Roman" w:eastAsia="Times New Roman" w:cs="Times New Roman"/>
          <w:b/>
          <w:sz w:val="24"/>
        </w:rPr>
        <w:t>a</w:t>
      </w:r>
      <w:r>
        <w:rPr>
          <w:rFonts w:ascii="Times New Roman" w:hAnsi="Times New Roman" w:eastAsia="Times New Roman" w:cs="Times New Roman"/>
          <w:b w:val="0"/>
          <w:sz w:val="24"/>
        </w:rPr>
        <w:t>)(30) of the Internal Revenue Code of 1986, as amended), Holder hereby represents that he, she or it has satisfied itself as to the full observance of the laws of Holder’s jurisdiction in connection with any invitation to subscribe for the Securities or any use of this Note,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the legal requirements within Holder’s jurisdiction for the purchase of the Securities, (B) any foreign exchange restrictions applicable to such purchase, (C) any governmental or other consents that may need to be obtained, and (D) the income tax and other tax consequences, if any, that may be relevant to the purchase, holding, redemption, sale or transfer of the Securities.  Holder’s subscription, payment for and continued beneficial ownership of the Securities will not violate any applicable securities or other laws of Holder’s jurisdiction.</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Holder agrees, in connection with the Company’s initial public offering of its equity securities, and upon request of the Company or the underwriters managing such offering, not to sell, make any short sale of, loan, grant any option for the purchase of or otherwise dispose of any shares of the Securities (other than those included in the registration, if any) without the prior written consent of the Company or such underwriters, as the case may be, for such period of time (not to exceed one hundred eighty (180) days) from the effective date of such registration as may be requested by the Company or such underwriters.</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Each of the following events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Event of Default</w:t>
      </w:r>
      <w:r>
        <w:rPr>
          <w:rFonts w:ascii="Times New Roman" w:hAnsi="Times New Roman" w:eastAsia="Times New Roman" w:cs="Times New Roman"/>
          <w:b w:val="0"/>
          <w:sz w:val="24"/>
        </w:rPr>
        <w: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Borrower fails to pay timely any of the principal amount due under this Note on the date the same becomes due and payable or any accrued interest or other amounts due under this Note on the date the same becomes due and payable, and such payment is not made within five (5) days of the Company’s receipt of the Holder’s written notice to the Company of such failure to pay;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Borrower engages in any liquidation, dissolution or winding up proceedings;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Borrower files any petition or action for relief under any bankruptcy, reorganization, insolvency or moratorium law or any other law for the relief of, or relating to, debtors, now or hereafter in effect, or makes any assignment for the benefit of creditors or takes any corporate action in furtherance of any of the foregoing;</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petition is filed against Borrower under any bankruptcy statute now or hereafter in effect, and such petition is not dismissed or discharged within [sixty (60)] days,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receiver, trustee or assignee for the benefit of creditors (or other similar official) is appointed to take possession, custody or control of any property of Borrower; and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Borrower breaches any warranty or agreement made by Borrower in this Note in any material respect (except as provided in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and, as to any such breach that is capable of cure, Borrower fails to cure such breach within [fifteen (15)] days after Borrower has been provided with written notice of such breach.</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Upon the occurrence and during the continuance of any Event of Default, the outstanding principal balance of this Note and all accrued but unpaid interest thereon shall, all at the option of Holder, upon notice to Borrower (except that no such election by Holder and notice to Borrower shall be required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of the type specified in Sections </w:t>
      </w:r>
      <w:r>
        <w:rPr>
          <w:rFonts w:ascii="Times New Roman" w:hAnsi="Times New Roman" w:eastAsia="Times New Roman" w:cs="Times New Roman"/>
          <w:b w:val="0"/>
          <w:sz w:val="24"/>
        </w:rPr>
        <w:t>8.</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(d)</w:t>
      </w:r>
      <w:r>
        <w:rPr>
          <w:rFonts w:ascii="Times New Roman" w:hAnsi="Times New Roman" w:eastAsia="Times New Roman" w:cs="Times New Roman"/>
          <w:b w:val="0"/>
          <w:sz w:val="24"/>
        </w:rPr>
        <w:t>, automatically be immediately due, payable and collectible by Holder pursuant to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Reporting.</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During the term of this Note,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quarterly basis the Company shall provide to Holder unaudited financial reports. </w:t>
      </w:r>
      <w:r>
        <w:rPr>
          <w:rFonts w:ascii="Times New Roman" w:hAnsi="Times New Roman" w:eastAsia="Times New Roman" w:cs="Times New Roman"/>
          <w:b/>
          <w:sz w:val="24"/>
        </w:rPr>
        <w:t xml:space="preserve">[Alternate clause to Section </w:t>
      </w:r>
      <w:r>
        <w:rPr>
          <w:rFonts w:ascii="Times New Roman" w:hAnsi="Times New Roman" w:eastAsia="Times New Roman" w:cs="Times New Roman"/>
          <w:b/>
          <w:sz w:val="24"/>
        </w:rPr>
        <w:t>10.</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So long as this Note is outstanding, the Company agrees to deliver to Holder any information provided to stockholders of the Company in their capacity as such and, upon request of Holder, such other information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 the Company would be entitled to receive by law or under the charter documents of the Company. So long as this Note is outstanding, the Company will deliver to Holder (</w:t>
      </w:r>
      <w:r>
        <w:rPr>
          <w:rFonts w:ascii="Times New Roman" w:hAnsi="Times New Roman" w:eastAsia="Times New Roman" w:cs="Times New Roman"/>
          <w:b/>
          <w:sz w:val="24"/>
        </w:rPr>
        <w:t>a</w:t>
      </w:r>
      <w:r>
        <w:rPr>
          <w:rFonts w:ascii="Times New Roman" w:hAnsi="Times New Roman" w:eastAsia="Times New Roman" w:cs="Times New Roman"/>
          <w:b w:val="0"/>
          <w:sz w:val="24"/>
        </w:rPr>
        <w:t>) annual unaudited financial statements within [sixty (60)] days following year-end and annual audited statements, if any, within [fifteen (15)] days of completion; and (b) quarterly unaudited financial statements within [thirty (30) days] following quarter-end.</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[Drafting Note to alternate clause to Section </w:t>
      </w:r>
      <w:r>
        <w:rPr>
          <w:rFonts w:ascii="Times New Roman" w:hAnsi="Times New Roman" w:eastAsia="Times New Roman" w:cs="Times New Roman"/>
          <w:b/>
          <w:sz w:val="24"/>
        </w:rPr>
        <w:t>10.</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This alternate clause provides more information rights to the noteholder.</w:t>
      </w:r>
      <w:r>
        <w:rPr>
          <w:rFonts w:ascii="Times New Roman" w:hAnsi="Times New Roman" w:eastAsia="Times New Roman" w:cs="Times New Roman"/>
          <w:b/>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Cumulative Remedies.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Holders' rights and remedies under this Note and the other Notes shall be cumulative. The Holders shall have all other rights and remedies not inconsistent herewith as provided under the Uniform Commercial Code, by law or in equity. No exercise by the Holders of one right or remedy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and no waiver by the Holders of any Event of Default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waiver.</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Creditor's Rights.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Borrower waives presentment and demand for payment notice of dishonor, protest and notice of protest of this Note. Borrower hereby acknowledges that Holder shall be entitled to recover, and the undersigned agrees to pay when incurred, all reasonable costs and expenses of collection of this Note, including without limitation, reasonable attorneys' fees. The right to plead any and all statutes of limitations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defense to any demands hereunder is hereby waived to the full extent permitted by law. Borrower consents irrevocably to personal jurisdiction in the state and federal courts located in [City, State] for the resolution of any disputes with Holder arising hereunder or relating hereto.</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Usury.</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 no event shall the interest rate or rates payable under this Note, plus any other amounts paid in connection herewith and therewith, exceed the highest rate permissible under any law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shall,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determination, deem applicable. Borrower and Holder, in executing and delivering this Note, intend legally to agree upon the rate or rates of interest and manner of payment stated within it;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anything contained herein to the contrary notwithstanding, if said rate or rates of interest or manner of payment exceeds the maximum allowable under applicable law, then, </w:t>
      </w:r>
      <w:r>
        <w:rPr>
          <w:rFonts w:ascii="Times New Roman" w:hAnsi="Times New Roman" w:eastAsia="Times New Roman" w:cs="Times New Roman"/>
          <w:b w:val="0"/>
          <w:sz w:val="24"/>
        </w:rPr>
        <w:t>ipso facto</w:t>
      </w:r>
      <w:r>
        <w:rPr>
          <w:rFonts w:ascii="Times New Roman" w:hAnsi="Times New Roman" w:eastAsia="Times New Roman" w:cs="Times New Roman"/>
          <w:b w:val="0"/>
          <w:sz w:val="24"/>
        </w:rPr>
        <w:t>, as of the date of this Note, Borrower is and shall be liable only for the payment of such maximum as allowed by law, and payment received from Borrower in excess of such legal maximum, whenever received, shall be applied to reduce the principal balance of any remaining obligations to the extent of such excess.</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This Note shall be governed by, and construed and enforced in accordance with, the laws of the State of [__________], excluding conflict of laws principles that would cause the application of laws of any other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and Waiver.</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Any provision of this Note may be amended, waived or modified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both Borrower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Interest of the Holders and such amendment or waiver shall be binding on all Holders. Upon the effectuation of such waiver or amendment in conformance with this Section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Borrower shall promptly give written notice thereof to the Holders who have not previously consented thereto in writing. </w:t>
      </w:r>
      <w:r>
        <w:rPr>
          <w:rFonts w:ascii="Times New Roman" w:hAnsi="Times New Roman" w:eastAsia="Times New Roman" w:cs="Times New Roman"/>
          <w:b/>
          <w:sz w:val="24"/>
        </w:rPr>
        <w:t xml:space="preserve">[Alternate clause to Section </w:t>
      </w:r>
      <w:r>
        <w:rPr>
          <w:rFonts w:ascii="Times New Roman" w:hAnsi="Times New Roman" w:eastAsia="Times New Roman" w:cs="Times New Roman"/>
          <w:b/>
          <w:sz w:val="24"/>
        </w:rPr>
        <w:t>15.</w:t>
      </w:r>
      <w:r>
        <w:rPr>
          <w:rFonts w:ascii="Times New Roman" w:hAnsi="Times New Roman" w:eastAsia="Times New Roman" w:cs="Times New Roman"/>
          <w:b w:val="0"/>
          <w:sz w:val="24"/>
        </w:rPr>
        <w:t>: The provisions of this Note may be amended or waived only upon the written consent of the Company and Holder.</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[Drafting Note to alternate clause to Section </w:t>
      </w:r>
      <w:r>
        <w:rPr>
          <w:rFonts w:ascii="Times New Roman" w:hAnsi="Times New Roman" w:eastAsia="Times New Roman" w:cs="Times New Roman"/>
          <w:b/>
          <w:sz w:val="24"/>
        </w:rPr>
        <w:t>15.</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The amendment provision should be tailored to the specific circumstances of the transaction. If there are multiple noteholders, it may be administratively easier for the Company to receive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interest of the noteholders to amend the note, rather than getting consent from each individual noteholder.</w:t>
      </w:r>
      <w:r>
        <w:rPr>
          <w:rFonts w:ascii="Times New Roman" w:hAnsi="Times New Roman" w:eastAsia="Times New Roman" w:cs="Times New Roman"/>
          <w:b/>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rights and obligations of the Company and Holder shall be binding upon and shall inure to the benefit of their successors, assigns and transferees. Holder may not assign or otherwise transfer this Note without the prior written consent of the Company, which consent shall not be unreasonably withheld.</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This Note may be transferred only upon its surrender to Borrower for registration of transfer, duly endorsed, or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written instrument of transfer in form satisfactory to Borrower. Thereupon, this Note shall be reissued to, and registered in the name of, the transferee,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Note for like principal amount and interest shall be issued to, and registered in the name of, the transferee. Interest and principal shall be paid solely to the registered holder of this Note. Such payment shall constitute full discharge of Borrower's obligation to pay such interest and principal.</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All notices required or permitted under this Note shall be in writing and shall be deemed effectively given: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upon personal delivery to the party to be notified, (b) when sent by confirmed electronic mail or facsimile if sent during normal business hours of the recipient, if not, then on the next business day, (c) five (5) days after having been sent by registered or certified mail, return receipt requested, postage prepaid, or (d) one (1) day after deposit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nationally recognized overnight courier, specifying next day delivery, with written verification of receipt. All communications shall be sent to the Borrower and Holder at the addresses set forth on the signature page hereto or at such other addresses as the Borrower or Holder may designate by prior written notice to the other parties hereto.</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Borrower and Holder shall each bear its respective expenses and legal fees incurred with respect to the negotiation, execution and delivery of this Note and the transactions contemplated herein.</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Loss of Note.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Upon receipt by the Borrower of evidence satisfactory to it of the loss, theft, destruction or mutilation of this Note or any Note exchanged for it, and indemnity satisfactory to the Borrower (in case of loss, theft or destruction) or surrender and cancellation of such Note (in the case of mutilation), the Borrower will make and deliver in lieu of such Note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Note of like tenor.</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This Note constitutes the full and entire understanding and agreement between the parties with regard to the subject matter hereof and no party shall be liable or bound to any other party in any manner by any representations, warranties, covenants and agreements except as specifically set forth herein.</w:t>
      </w:r>
    </w:p>
    <w:p>
      <w:pPr>
        <w:keepNext w:val="0"/>
        <w:spacing w:before="200" w:after="0" w:line="260" w:lineRule="exact"/>
        <w:ind w:left="720" w:right="0" w:firstLine="0"/>
        <w:jc w:val="center"/>
      </w:pPr>
      <w:r>
        <w:rPr>
          <w:rFonts w:ascii="Times New Roman" w:hAnsi="Times New Roman" w:eastAsia="Times New Roman" w:cs="Times New Roman"/>
          <w:b/>
          <w:sz w:val="24"/>
        </w:rPr>
        <w:t>[THE REMAINDER OF THIS PAGE HAS BEEN INTENTIONALLY LEFT BLANK]</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have entered into this Note as of the date first written above.</w:t>
      </w:r>
    </w:p>
    <w:p>
      <w:pPr>
        <w:keepNext w:val="0"/>
        <w:spacing w:before="120" w:after="0" w:line="260" w:lineRule="exact"/>
        <w:ind w:left="720" w:right="0" w:firstLine="0"/>
        <w:jc w:val="left"/>
      </w:pPr>
      <w:r>
        <w:rPr>
          <w:rFonts w:ascii="Times New Roman" w:hAnsi="Times New Roman" w:eastAsia="Times New Roman" w:cs="Times New Roman"/>
          <w:b/>
          <w:sz w:val="24"/>
        </w:rPr>
        <w:t>COMPANY:</w:t>
      </w:r>
    </w:p>
    <w:p>
      <w:pPr>
        <w:keepNext w:val="0"/>
        <w:spacing w:before="120" w:after="0" w:line="260" w:lineRule="exact"/>
        <w:ind w:left="720" w:right="0" w:firstLine="0"/>
        <w:jc w:val="left"/>
      </w:pPr>
      <w:r>
        <w:rPr>
          <w:rFonts w:ascii="Times New Roman" w:hAnsi="Times New Roman" w:eastAsia="Times New Roman" w:cs="Times New Roman"/>
          <w:b/>
          <w:sz w:val="24"/>
        </w:rPr>
        <w:t>[NAME OF COMPANY]</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AGREED TO AND ACCEPTED:</w:t>
      </w:r>
    </w:p>
    <w:p>
      <w:pPr>
        <w:keepNext w:val="0"/>
        <w:spacing w:before="120" w:after="0" w:line="260" w:lineRule="exact"/>
        <w:ind w:left="720" w:right="0" w:firstLine="0"/>
        <w:jc w:val="left"/>
      </w:pPr>
      <w:r>
        <w:rPr>
          <w:rFonts w:ascii="Times New Roman" w:hAnsi="Times New Roman" w:eastAsia="Times New Roman" w:cs="Times New Roman"/>
          <w:b/>
          <w:sz w:val="24"/>
        </w:rPr>
        <w:t>[NAME OF HOLDER]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