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Counsel’s Response Letter to Auditors’ Request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Auditor]</w:t>
      </w:r>
    </w:p>
    <w:p>
      <w:pPr>
        <w:keepNext w:val="0"/>
        <w:spacing w:before="200" w:after="0" w:line="260" w:lineRule="exact"/>
        <w:ind w:left="360" w:right="0" w:firstLine="0"/>
        <w:jc w:val="both"/>
      </w:pPr>
      <w:r>
        <w:rPr>
          <w:rFonts w:ascii="Times New Roman" w:hAnsi="Times New Roman" w:eastAsia="Times New Roman" w:cs="Times New Roman"/>
          <w:b w:val="0"/>
          <w:sz w:val="24"/>
        </w:rPr>
        <w:t>Re: [Company Name]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w:t>
      </w:r>
    </w:p>
    <w:p>
      <w:pPr>
        <w:keepNext w:val="0"/>
        <w:spacing w:before="200" w:after="0" w:line="260" w:lineRule="exact"/>
        <w:ind w:left="360" w:right="0" w:firstLine="0"/>
        <w:jc w:val="both"/>
      </w:pPr>
      <w:r>
        <w:rPr>
          <w:rFonts w:ascii="Times New Roman" w:hAnsi="Times New Roman" w:eastAsia="Times New Roman" w:cs="Times New Roman"/>
          <w:b w:val="0"/>
          <w:sz w:val="24"/>
        </w:rPr>
        <w:t>As General Counsel of the Company [together with its subsidiaries, the "Company")], I advise you as follows in connection with your examination of the accounts of the Company as of [date of fiscal year-end].</w:t>
      </w:r>
    </w:p>
    <w:p>
      <w:pPr>
        <w:keepNext w:val="0"/>
        <w:spacing w:before="200" w:after="0" w:line="260" w:lineRule="exact"/>
        <w:ind w:left="360" w:right="0" w:firstLine="0"/>
        <w:jc w:val="both"/>
      </w:pPr>
      <w:r>
        <w:rPr>
          <w:rFonts w:ascii="Times New Roman" w:hAnsi="Times New Roman" w:eastAsia="Times New Roman" w:cs="Times New Roman"/>
          <w:b w:val="0"/>
          <w:sz w:val="24"/>
        </w:rPr>
        <w:t>I call your attention to the fact that as General Counsel for the Company I have [general supervision of the Company's legal affairs]. In such capacity, I have reviewed litigation and claims threatened or asserted involving the Company and have consulted with outside legal counsel where appropriate.</w:t>
      </w:r>
    </w:p>
    <w:p>
      <w:pPr>
        <w:keepNext w:val="0"/>
        <w:spacing w:before="200" w:after="0" w:line="260" w:lineRule="exact"/>
        <w:ind w:left="360" w:right="0" w:firstLine="0"/>
        <w:jc w:val="both"/>
      </w:pPr>
      <w:r>
        <w:rPr>
          <w:rFonts w:ascii="Times New Roman" w:hAnsi="Times New Roman" w:eastAsia="Times New Roman" w:cs="Times New Roman"/>
          <w:b w:val="0"/>
          <w:sz w:val="24"/>
        </w:rPr>
        <w:t>Subject to the foregoing and to the last paragraph of this letter, I advise you that since [date of start of fiscal period of audit] neither I, nor any of the lawyers over whom I exercise general legal supervision, have given substantive attention to, or represented the Company in connection with, [material] loss contingencies coming within the scope of clause (</w:t>
      </w:r>
      <w:r>
        <w:rPr>
          <w:rFonts w:ascii="Times New Roman" w:hAnsi="Times New Roman" w:eastAsia="Times New Roman" w:cs="Times New Roman"/>
          <w:b/>
          <w:sz w:val="24"/>
        </w:rPr>
        <w:t>a</w:t>
      </w:r>
      <w:r>
        <w:rPr>
          <w:rFonts w:ascii="Times New Roman" w:hAnsi="Times New Roman" w:eastAsia="Times New Roman" w:cs="Times New Roman"/>
          <w:b w:val="0"/>
          <w:sz w:val="24"/>
        </w:rPr>
        <w:t>) of Paragraph 5 of the Statement of Policy referred to in the last paragraph of this letter, except as follows: [describe any litigation and claims that fit this criteria].</w:t>
      </w:r>
    </w:p>
    <w:p>
      <w:pPr>
        <w:keepNext w:val="0"/>
        <w:spacing w:before="200" w:after="0" w:line="260" w:lineRule="exact"/>
        <w:ind w:left="360" w:right="0" w:firstLine="0"/>
        <w:jc w:val="both"/>
      </w:pPr>
      <w:r>
        <w:rPr>
          <w:rFonts w:ascii="Times New Roman" w:hAnsi="Times New Roman" w:eastAsia="Times New Roman" w:cs="Times New Roman"/>
          <w:b w:val="0"/>
          <w:sz w:val="24"/>
        </w:rPr>
        <w:t>The information set forth herein is [as of the date of this letter / as of [DATE],/ the date on which we commenced our internal review procedures for purposes of preparing this response], except as otherwise noted, and I disclaim any undertaking to advise you of changes which thereafter may be brought to my attention or to the attention of the lawyers over whom I exercise general legal supervision.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response is limited by, and in accordance with, the American Bar Association (ABA) Statement of Policy Regarding Lawyers' Responses to Auditors' Requests for Information (December 1975) (the Statement); without limiting the generality of the foregoing, the limitations set forth in such Statement on the scope and use of this response (Paragraphs 2 and 7) are specifically incorporated herein by reference, and any description herein of any "loss contingencies" (as defined in Paragraph 5 of the Statement) is qualified in its entirety by Paragraph 5 of the Statement and the accompanying Commentary (which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integral part of the Statement). Consistent with the last sentence of Paragraph 6 of the Statement and per the Company’s request, this will confirm as correct the Company's understanding that whenever, in the course of performing legal services for the Company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recognized to involve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unasserted possible claim or assessment that may call for financial statement disclosure, I have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conclusion that the Company must disclose or consider disclosure concerning such possible claim or assessment, I,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professional responsibility to the Company, will so advise the Company and will consult with the Company concerning the question of such disclosure and the applicable requirements of FASB Accounting Standards Codification Subtopic 450-20 (originally issued as FASB Statement of Financial Accounting Standards No. 5, Accounting for Contingencies).</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