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Creditors’ Claim Notice (PA Official Form OC-07)</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form is used by creditors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estate of the decedent. It is filed with the Clerk of the Orphans’ Court.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claim must contain sufficient information to apprise the personal representative of the nature, type, and amount of the claim.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rule, claims may be filed informally with the personal representative or attorney for the estate or formally with the court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mailed to the personal representative or attorney for the estate. However, claims against real property must be filed with the court. 20 Pa.C.S. § 3532(b)(2).</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has not filed written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with the personal representative within one year from the first complete advertisement of letters, and the personal representative is not aware of the claim, the personal representative may distribute personal and real property without the necessity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and without liability to the claimant. 20 Pa.C.S. § 3532(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This does not affect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charge existing at death on decedent’s real or personal property. 20 Pa.C.S. § 3532(b)(3).</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Orphan’s Court Rules, see Orphans’ Court Rules (PA).</w:t>
      </w:r>
    </w:p>
    <w:p>
      <w:pPr>
        <w:keepNext w:val="0"/>
        <w:spacing w:before="200" w:after="0" w:line="260" w:lineRule="exact"/>
        <w:ind w:left="0" w:right="0" w:firstLine="0"/>
        <w:jc w:val="both"/>
      </w:pPr>
      <w:r>
        <w:rPr>
          <w:rFonts w:ascii="Times New Roman" w:hAnsi="Times New Roman" w:eastAsia="Times New Roman" w:cs="Times New Roman"/>
          <w:b w:val="0"/>
          <w:sz w:val="24"/>
        </w:rPr>
        <w:t>Form can be found online at http://www.pacourts.us/assets/files/setting-872/file-795.pdf?cb=c693c4.</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