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DIP Financing Motion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DEBTORS' 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PURSUANT TO SECTIONS 105, 361, 362, 363, 364 AND 507 OF THE BANKRUPTCY CODE AND BANKRUPTCY RULES 2002, 4001 AND 9014 (I) AUTHORIZING THE DEBTORS (</w:t>
      </w:r>
      <w:r>
        <w:rPr>
          <w:rFonts w:ascii="Times New Roman" w:hAnsi="Times New Roman" w:eastAsia="Times New Roman" w:cs="Times New Roman"/>
          <w:b/>
          <w:sz w:val="24"/>
        </w:rPr>
        <w:t>A</w:t>
      </w:r>
      <w:r>
        <w:rPr>
          <w:rFonts w:ascii="Times New Roman" w:hAnsi="Times New Roman" w:eastAsia="Times New Roman" w:cs="Times New Roman"/>
          <w:b/>
          <w:sz w:val="24"/>
        </w:rPr>
        <w:t>) TO OBTAIN POSTPETITION FINANCING [AND (B) TO USE CASH COLLATERAL] AND (II) GRANTING (</w:t>
      </w:r>
      <w:r>
        <w:rPr>
          <w:rFonts w:ascii="Times New Roman" w:hAnsi="Times New Roman" w:eastAsia="Times New Roman" w:cs="Times New Roman"/>
          <w:b/>
          <w:sz w:val="24"/>
        </w:rPr>
        <w:t>A</w:t>
      </w:r>
      <w:r>
        <w:rPr>
          <w:rFonts w:ascii="Times New Roman" w:hAnsi="Times New Roman" w:eastAsia="Times New Roman" w:cs="Times New Roman"/>
          <w:b/>
          <w:sz w:val="24"/>
        </w:rPr>
        <w:t>) ADEQUATE PROTECTION TO PREPETITION SECURED PARTIES AND (B)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attorneys,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pursuant to Sections 105, 361, 362, 363, 364, and 507 of the Bankruptcy Code and Bankruptcy Rules 2002, 4001, and 9014,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Interim DIP Order</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(the "</w:t>
      </w:r>
      <w:r>
        <w:rPr>
          <w:rFonts w:ascii="Times New Roman" w:hAnsi="Times New Roman" w:eastAsia="Times New Roman" w:cs="Times New Roman"/>
          <w:b w:val="0"/>
          <w:sz w:val="24"/>
        </w:rPr>
        <w:t>Final DIP Order</w:t>
      </w:r>
      <w:r>
        <w:rPr>
          <w:rFonts w:ascii="Times New Roman" w:hAnsi="Times New Roman" w:eastAsia="Times New Roman" w:cs="Times New Roman"/>
          <w:b w:val="0"/>
          <w:sz w:val="24"/>
        </w:rPr>
        <w:t>", together with the Interim DIP Order, the "</w:t>
      </w:r>
      <w:r>
        <w:rPr>
          <w:rFonts w:ascii="Times New Roman" w:hAnsi="Times New Roman" w:eastAsia="Times New Roman" w:cs="Times New Roman"/>
          <w:b w:val="0"/>
          <w:sz w:val="24"/>
        </w:rPr>
        <w:t>DIP Orders</w:t>
      </w:r>
      <w:r>
        <w:rPr>
          <w:rFonts w:ascii="Times New Roman" w:hAnsi="Times New Roman" w:eastAsia="Times New Roman" w:cs="Times New Roman"/>
          <w:b w:val="0"/>
          <w:sz w:val="24"/>
        </w:rPr>
        <w:t xml:space="preserve">") (i) authorizing the Debtors to obtain postpetition financing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priming, super-priority, credit facility in the amount of [$dollar amount] (the "</w:t>
      </w:r>
      <w:r>
        <w:rPr>
          <w:rFonts w:ascii="Times New Roman" w:hAnsi="Times New Roman" w:eastAsia="Times New Roman" w:cs="Times New Roman"/>
          <w:b w:val="0"/>
          <w:sz w:val="24"/>
        </w:rPr>
        <w:t>DIP Facility</w:t>
      </w:r>
      <w:r>
        <w:rPr>
          <w:rFonts w:ascii="Times New Roman" w:hAnsi="Times New Roman" w:eastAsia="Times New Roman" w:cs="Times New Roman"/>
          <w:b w:val="0"/>
          <w:sz w:val="24"/>
        </w:rPr>
        <w:t>") and substantially on the terms set forth in the debtor-in-possession credit agreement (attached hereto as Exhibit B) (as amended, supplemented, or otherwise modified and in effect, from time to time, the "</w:t>
      </w:r>
      <w:r>
        <w:rPr>
          <w:rFonts w:ascii="Times New Roman" w:hAnsi="Times New Roman" w:eastAsia="Times New Roman" w:cs="Times New Roman"/>
          <w:b w:val="0"/>
          <w:sz w:val="24"/>
        </w:rPr>
        <w:t>DIP Credit Agreement</w:t>
      </w:r>
      <w:r>
        <w:rPr>
          <w:rFonts w:ascii="Times New Roman" w:hAnsi="Times New Roman" w:eastAsia="Times New Roman" w:cs="Times New Roman"/>
          <w:b w:val="0"/>
          <w:sz w:val="24"/>
        </w:rPr>
        <w:t>," together with any and all other related documents and agreements entered into in connection with or related to the DIP Facility, the "</w:t>
      </w:r>
      <w:r>
        <w:rPr>
          <w:rFonts w:ascii="Times New Roman" w:hAnsi="Times New Roman" w:eastAsia="Times New Roman" w:cs="Times New Roman"/>
          <w:b w:val="0"/>
          <w:sz w:val="24"/>
        </w:rPr>
        <w:t>DIP Credit Documents</w:t>
      </w:r>
      <w:r>
        <w:rPr>
          <w:rFonts w:ascii="Times New Roman" w:hAnsi="Times New Roman" w:eastAsia="Times New Roman" w:cs="Times New Roman"/>
          <w:b w:val="0"/>
          <w:sz w:val="24"/>
        </w:rPr>
        <w:t xml:space="preserve">") and the Interim DIP Order; [(ii) authorizing the use of Cash Collateral (as defined below);] (iii) granting adequate protection to the Prepetition Lenders (as defined below); (iv) scheduling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hearing pursuant to Bankruptcy Rule 4001 (the "</w:t>
      </w:r>
      <w:r>
        <w:rPr>
          <w:rFonts w:ascii="Times New Roman" w:hAnsi="Times New Roman" w:eastAsia="Times New Roman" w:cs="Times New Roman"/>
          <w:b w:val="0"/>
          <w:sz w:val="24"/>
        </w:rPr>
        <w:t>Final Hearing</w:t>
      </w:r>
      <w:r>
        <w:rPr>
          <w:rFonts w:ascii="Times New Roman" w:hAnsi="Times New Roman" w:eastAsia="Times New Roman" w:cs="Times New Roman"/>
          <w:b w:val="0"/>
          <w:sz w:val="24"/>
        </w:rPr>
        <w:t>"); and (v) granting related relief. In support of the relief requested in this Motion, the Debtors rely on the Declaration of [name of debtor representative] in Support of First-Day Pleadings (the "</w:t>
      </w:r>
      <w:r>
        <w:rPr>
          <w:rFonts w:ascii="Times New Roman" w:hAnsi="Times New Roman" w:eastAsia="Times New Roman" w:cs="Times New Roman"/>
          <w:b w:val="0"/>
          <w:sz w:val="24"/>
        </w:rPr>
        <w:t>First Day Declaration</w:t>
      </w:r>
      <w:r>
        <w:rPr>
          <w:rFonts w:ascii="Times New Roman" w:hAnsi="Times New Roman" w:eastAsia="Times New Roman" w:cs="Times New Roman"/>
          <w:b w:val="0"/>
          <w:sz w:val="24"/>
        </w:rPr>
        <w:t>"). In further support of the relief requested in the Motion, the Debtors respectfully represent as follows: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matter pursuant to 28 U.S.C. §§ 157 and 1334. Venue of these cases and this Motion in this District is proper pursuant to 28 U.S.C. §§ 1408 and 1409.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w:t>
      </w:r>
    </w:p>
    <w:p>
      <w:pPr>
        <w:keepNext w:val="0"/>
        <w:spacing w:before="120" w:after="0" w:line="260" w:lineRule="exact"/>
        <w:ind w:left="1080" w:right="0" w:firstLine="0"/>
        <w:jc w:val="left"/>
      </w:pPr>
      <w:r>
        <w:rPr>
          <w:rFonts w:ascii="Times New Roman" w:hAnsi="Times New Roman" w:eastAsia="Times New Roman" w:cs="Times New Roman"/>
          <w:b/>
          <w:sz w:val="24"/>
        </w:rPr>
        <w:t>INTRODUCTION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each of the Debtors filed with this Court separate, voluntary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 and no committees have been appointed or designated. Concurrently with the filing of this Motion, the Debtors have sought procedural consolidation and joint administration of these Chapter 11 cases.</w:t>
      </w:r>
    </w:p>
    <w:p>
      <w:pPr>
        <w:keepNext w:val="0"/>
        <w:spacing w:before="120" w:after="0" w:line="260" w:lineRule="exact"/>
        <w:ind w:left="1080" w:right="0" w:firstLine="0"/>
        <w:jc w:val="left"/>
      </w:pPr>
      <w:r>
        <w:rPr>
          <w:rFonts w:ascii="Times New Roman" w:hAnsi="Times New Roman" w:eastAsia="Times New Roman" w:cs="Times New Roman"/>
          <w:b/>
          <w:sz w:val="24"/>
        </w:rPr>
        <w:t>THE DEBTORS AND THEIR BUSINESS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Debtors' business and the reasons for the filing of these Chapter 11 cases are set forth in the First Day Declaration, which was filed contemporaneously with this Motion and is fully incorporated herein by reference.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[briefly describe Debtors' prepetition debt and capital structure and identify prepetition lenders, credit agreements, etc.]</w:t>
      </w:r>
    </w:p>
    <w:p>
      <w:pPr>
        <w:keepNext w:val="0"/>
        <w:spacing w:before="120" w:after="0" w:line="260" w:lineRule="exact"/>
        <w:ind w:left="1080" w:right="0" w:firstLine="0"/>
        <w:jc w:val="left"/>
      </w:pPr>
      <w:r>
        <w:rPr>
          <w:rFonts w:ascii="Times New Roman" w:hAnsi="Times New Roman" w:eastAsia="Times New Roman" w:cs="Times New Roman"/>
          <w:b/>
          <w:sz w:val="24"/>
        </w:rPr>
        <w:t>CIRCUMSTANCES LEADING TO THIS FILING</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[Briefly describe circumstances leading to filing bankruptcy]</w:t>
      </w:r>
    </w:p>
    <w:p>
      <w:pPr>
        <w:keepNext w:val="0"/>
        <w:spacing w:before="120" w:after="0" w:line="260" w:lineRule="exact"/>
        <w:ind w:left="1080" w:right="0" w:firstLine="0"/>
        <w:jc w:val="left"/>
      </w:pPr>
      <w:r>
        <w:rPr>
          <w:rFonts w:ascii="Times New Roman" w:hAnsi="Times New Roman" w:eastAsia="Times New Roman" w:cs="Times New Roman"/>
          <w:b/>
          <w:sz w:val="24"/>
        </w:rPr>
        <w:t>SUMMARY OF THE PRINCIPAL TERMS OF THE PROPOSED DIP FACILITY</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Bankruptcy Rule 4001 requires that motions requesting authority to incur postpetition financing begin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concise statement of the relief requested, summarizing the material terms and setting forth where the material terms can be found in the relevant documents.</w:t>
      </w:r>
    </w:p>
    <w:p>
      <w:pPr>
        <w:keepNext w:val="0"/>
        <w:spacing w:before="200" w:after="0" w:line="260" w:lineRule="exact"/>
        <w:ind w:left="1440" w:right="0" w:firstLine="0"/>
        <w:jc w:val="both"/>
      </w:pPr>
      <w:r>
        <w:rPr>
          <w:rFonts w:ascii="Times New Roman" w:hAnsi="Times New Roman" w:eastAsia="Times New Roman" w:cs="Times New Roman"/>
          <w:b w:val="0"/>
          <w:sz w:val="24"/>
        </w:rPr>
        <w:t>Such summary is set forth below.</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DIP Loan Parties and Other General Terms.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borrowers, lenders, guarantors, etc.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Total Facility.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the DIP Facility. Cite to relevant sections of the DIP Credit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Loan Proceeds.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how proceeds of DIP Facility will be used and any limitations on its use.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Maturity Date or Termination Date.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[List any dates or events that cause the DIP Facility to mature or terminate.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Forecasts and Budget.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any budgets associated with the DIP Facility (the "Budget").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Liens, and Priorities.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any security and/or liens provided to the DIP Lenders, including super-priority claims, priming liens, and liens on causes of actions under Chapter 5 of the Bankruptcy Code.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Carve-Out.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any carve-out in the DIP Facility for trustee fees, professional fees, clerk of court fees, etc.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Rates and Fees.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interest rates and fees provided for in the DIP Facility. Cite to relevant sections of DIP Credit Documents or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Adequate Protection.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[Summarize adequate protection provided to Prepetition Lenders ("Adequate Protection").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[Briefly summarize any material covenants contained in the DIP Facility, financial, or otherwise.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[Summarize any conditions precedent to the implementation of the DIP Facility. Cite to relevant sections of DIP Credit Documents or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[Summarize events of default.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Borrowing on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Interim Basis.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terms of borrowing during the interim period (the period from entry of the Interim DIP Order until entry of the Final DIP Order.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DIP lenders' remedies upon termination of DIP Facility.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Milestones.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[Summarize milestones embedded in DIP Facility i.e. deadlines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to obtain approval of disclosure statement, for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etc.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Modification/Waiver of Automatic Stay.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summary as to how the DIP Facility modifies or waives the automatic stay provisions of Section 362 of the Bankruptcy Code (i.e. upon termination of DIP Facility).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Determination of Validity, Enforceability, Priority, or Amount of Prepetition Claim or Any Lien Securing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[Summarize whether the Debtors have stipulated to the validity, perfection, priority enforceability, amount, etc. of any prepetition security interests and liens held by the prepetition lenders, and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(or any other party in interest with standing) has the right to challenge such security interests and liens, and the time period in which to challenge. Cite to relevant sections of the DIP Credit Documents and the Interim DIP Order.]</w:t>
      </w:r>
    </w:p>
    <w:p>
      <w:pPr>
        <w:keepNext w:val="0"/>
        <w:spacing w:before="120" w:after="0" w:line="260" w:lineRule="exact"/>
        <w:ind w:left="180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Rights.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any rights the Debtors have waived in connection with the DIP Facility, including any rights under Section 506(c) of the Bankruptcy Code to surcharge collateral. Cite to relevant sections of the DIP Credit Documents and the Interim DIP Order.]</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this Motion, the Debtors seek entry of the Interim DIP Order, inter alia:</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Sections 364(c), (d), and (e) of the Bankruptcy Code, authorizing the Debtors to obtain postpetition financing under the DIP Facility.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Sections 363 and 364 of the Bankruptcy Code, authorizing the Debtors to use the proceeds of the DIP Facility for, among other things, working capital requirements and general corporate purposes, payment of costs of administration of these cases and payment of adequate protection payments and any other payments permitted by this Court, subject to the Budget;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Sections 364(c)(2), (c)(3), and (d) of the Bankruptcy Code, as security for the borrowings under the DIP Credit Agreement, authorizing the Debtors to grant the DIP Lenders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perfected first-priority, senior priming lien on all the Debtors' prepetition and postpetition property;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Section 364(c)(1) of the Bankruptcy Code, the granting of the super-priority administrative expense claim to the DIP Lenders payable from and having recourse to all prepetition and postpetition property of the Debtors and all proceeds thereof, subject to the Carve-Out;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Sections 361[, 363(e),] and 365(d)(1) of the Bankruptcy Code, authorizing the granting of adequate protection liens and super-priority claims, subject to the Carve-Out, to the [prepetition lender names] (the "</w:t>
      </w:r>
      <w:r>
        <w:rPr>
          <w:rFonts w:ascii="Times New Roman" w:hAnsi="Times New Roman" w:eastAsia="Times New Roman" w:cs="Times New Roman"/>
          <w:b w:val="0"/>
          <w:sz w:val="24"/>
        </w:rPr>
        <w:t>Prepetition Lenders</w:t>
      </w:r>
      <w:r>
        <w:rPr>
          <w:rFonts w:ascii="Times New Roman" w:hAnsi="Times New Roman" w:eastAsia="Times New Roman" w:cs="Times New Roman"/>
          <w:b w:val="0"/>
          <w:sz w:val="24"/>
        </w:rPr>
        <w:t>") with respect to their prepetition security interests and liens. Such adequate protection is only available to the extent of any diminution in value of the collateral securing the [name of prepetition loan documents] (the "</w:t>
      </w:r>
      <w:r>
        <w:rPr>
          <w:rFonts w:ascii="Times New Roman" w:hAnsi="Times New Roman" w:eastAsia="Times New Roman" w:cs="Times New Roman"/>
          <w:b w:val="0"/>
          <w:sz w:val="24"/>
        </w:rPr>
        <w:t>Prepetition Facility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authorizing the Carve-Out;</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during the Interim Period, authorizing the Debtors to borrow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principal amount of [$dollar amount] subject to, and in accordance with the DIP Credit Agreement and the Interim DIP Order;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Bankruptcy Rule 4001, scheduling the Final Hearing to consider entry of the Final DIP Order.</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believe that the funding available under the DIP Facility will reasonably address their near-term financing requirements and constitute the best financing option available to them given the circumstances of their business, their capital structure, and these Chapter 11 cases.</w:t>
      </w:r>
    </w:p>
    <w:p>
      <w:pPr>
        <w:keepNext w:val="0"/>
        <w:spacing w:before="120" w:after="0" w:line="260" w:lineRule="exact"/>
        <w:ind w:left="1080" w:right="0" w:firstLine="0"/>
        <w:jc w:val="left"/>
      </w:pPr>
      <w:r>
        <w:rPr>
          <w:rFonts w:ascii="Times New Roman" w:hAnsi="Times New Roman" w:eastAsia="Times New Roman" w:cs="Times New Roman"/>
          <w:b/>
          <w:sz w:val="24"/>
        </w:rPr>
        <w:t>BASIS FOR RELIEF</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are concerned that at their current levels of cash flow and expenditures, they will soon run out of sufficient available cash required to operate their business. They continue to accrue expenses and liabilities, however. It is therefore essential that the Debtors obtain postpetition financing to provide the necessary working capital and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going concern for the duration of these cases. Such financing will allow them to continue their ordinary course, day-to-day business operations, and satisfy the costs of administering their estates during the Chapter 11 process. Absent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new source of cash and liquidity, not only would the Debtors' ability to maximize the value of their estates for the benefit of their creditors be jeopardized, but the Debtors may be forced to shut down their operations in the short term and thereby risk losing much, if not all, of their going concern value.]</w:t>
      </w:r>
    </w:p>
    <w:p>
      <w:pPr>
        <w:keepNext w:val="0"/>
        <w:spacing w:before="120" w:after="0" w:line="260" w:lineRule="exact"/>
        <w:ind w:left="1080" w:right="0" w:firstLine="0"/>
        <w:jc w:val="left"/>
      </w:pPr>
      <w:r>
        <w:rPr>
          <w:rFonts w:ascii="Times New Roman" w:hAnsi="Times New Roman" w:eastAsia="Times New Roman" w:cs="Times New Roman"/>
          <w:b/>
          <w:sz w:val="24"/>
        </w:rPr>
        <w:t>OBTAINING CREDIT PURSUANT TO SECTION 364(c)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364(c) of the Bankruptcy Code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obtain credit or incur debt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super-priority basis. Section 364(c) also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obtain credit or incur debt secured by liens on unencumbered property and junior liens on encumbered property. See 11 U.S.C. § 364(c). The requirement under the Bankruptcy Code for obtaining postpetition credit under Section 364(c)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made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that the Debtors are unable to obtain secured credit allowable under Bankruptcy Code Section 503(b)(1). Id.; see also In re Ames Dep't Stores, Inc., 115 B.R. 34, 37 (Bankr. S.D.N.Y. 1990); In re Crouse Group, Inc., 71 B.R. 544, 549 (Bankr. E.D. Pa. 1987). Courts have applied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three-prong test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met the statutory requirements to obtain financing under Section 364(c):</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 is unable to obtain unsecured credit under Section 364(b) of the Bankruptcy Code by allowing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administrative expenses;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transaction is necessary to preserve the assets of the estate;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of the transaction are fair, reasonable and adequate, given the circumstances of the debtor and the prospective lender.</w:t>
      </w:r>
    </w:p>
    <w:p>
      <w:pPr>
        <w:keepNext w:val="0"/>
        <w:spacing w:before="120" w:after="0" w:line="260" w:lineRule="exact"/>
        <w:ind w:left="1080" w:right="0" w:firstLine="0"/>
        <w:jc w:val="left"/>
      </w:pPr>
      <w:r>
        <w:rPr>
          <w:rFonts w:ascii="Times New Roman" w:hAnsi="Times New Roman" w:eastAsia="Times New Roman" w:cs="Times New Roman"/>
          <w:b/>
          <w:sz w:val="24"/>
        </w:rPr>
        <w:t>OBTAINING CREDIT PURSUANT TO SECTION 364(d)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unable to obtain postpetition financing under Section 364(c) of the Bankruptcy Code, the debtor may obtain credit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"priming" senior or equal lien on property of the estate that is already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pursuant to Section  364(d). Section 364(d)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obtain or incur debt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or equal lien on property of the estate that is otherwise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only if: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 is unable to obtain such credit otherwise;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adequate protection of the interest of the holder of the lien on the property of the estate on which the senior or equal lien is proposed to be granted.</w:t>
      </w:r>
    </w:p>
    <w:p>
      <w:pPr>
        <w:keepNext w:val="0"/>
        <w:spacing w:before="200" w:after="0" w:line="260" w:lineRule="exact"/>
        <w:ind w:left="1800" w:right="0" w:firstLine="0"/>
        <w:jc w:val="both"/>
      </w:pPr>
      <w:r>
        <w:rPr>
          <w:rFonts w:ascii="Times New Roman" w:hAnsi="Times New Roman" w:eastAsia="Times New Roman" w:cs="Times New Roman"/>
          <w:b w:val="0"/>
          <w:sz w:val="24"/>
        </w:rPr>
        <w:t>11 U.S.C. § 364(d); see also, In re 495 Cent. Park Ave. Corp., 136 B.R. 626, 631-32 (Bankr. S.D.N.Y. 1992) (permitting postpetition liens to prime existing security interest because (i) debtor was unable to obtain financing elsewhere and (ii) debtor's use of proceeds would provide adequate protection to existing secured creditors by increasing the value of property securing their claims). As set forth, infra, it was simply impossible for the Debtors to obtain unsecured credit under the circumstances of these cases. Additionally, the Debtors submit that the Adequate Protection is sufficient to approve the priming of the Prepetition Lenders' liens under Section 364(d) of the Bankruptcy Code. [Indeed, the Prepetition Lenders have consented to the priming of their liens in exchange for the Adequate Protection.]</w:t>
      </w:r>
    </w:p>
    <w:p>
      <w:pPr>
        <w:keepNext w:val="0"/>
        <w:spacing w:before="120" w:after="0" w:line="260" w:lineRule="exact"/>
        <w:ind w:left="1080" w:right="0" w:firstLine="0"/>
        <w:jc w:val="left"/>
      </w:pPr>
      <w:r>
        <w:rPr>
          <w:rFonts w:ascii="Times New Roman" w:hAnsi="Times New Roman" w:eastAsia="Times New Roman" w:cs="Times New Roman"/>
          <w:b/>
          <w:sz w:val="24"/>
        </w:rPr>
        <w:t>ADEQUATE PROTECTION PURSUANT TO SECTION 361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Bankruptcy Code does not define "adequate protection," but Section 361 of the Bankruptcy Code provides the following three non-exclusive examples: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requiring the trustee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or periodic cash payments to such entity, to the extent that the stay under Section 362 of this title, use, sale, or lease under Section 363 of this title, or any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Section 364 of this title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in the value of such entity's interest in such property;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providing to such entity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or replacement lien to the extent that such stay, use, sale, lease, or grant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in the value of such entity's interest in such property;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granting such other relief, other than entitling such entity to compensation allowable under Section 503(b)(1) of this title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as will result in the realization by such entity of the indubitable equivalent of such entity's interest in such property.</w:t>
      </w:r>
    </w:p>
    <w:p>
      <w:pPr>
        <w:keepNext w:val="0"/>
        <w:spacing w:before="200" w:after="0" w:line="260" w:lineRule="exact"/>
        <w:ind w:left="1800" w:right="0" w:firstLine="0"/>
        <w:jc w:val="both"/>
      </w:pPr>
      <w:r>
        <w:rPr>
          <w:rFonts w:ascii="Times New Roman" w:hAnsi="Times New Roman" w:eastAsia="Times New Roman" w:cs="Times New Roman"/>
          <w:b w:val="0"/>
          <w:sz w:val="24"/>
        </w:rPr>
        <w:t>11 U.S.C. § 361.</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"one-size-fits-all" definition of adequate protection, and what constitutes sufficient adequate protection is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See Bray v. Shenandoah Fed. Say. v. Loan Assoc. (In re Snowshoe Co., Inc.), 789 F.2d 1085, 1088 (4th Cir. 1986); In re Mosello, 195 B.R. 277, 289 (Bankr. S.D.N.Y. 1996); In re Beker Indus. Corp., 58 B.R. 725, 736 (Bankr. S.D.N.Y. 1986); see also In re JKJ Chevrolet, Inc., 190 B.R. 542, 545 (Bankr. E.D. Va. 1995) (adequate protection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flexible concept that is determined by considering the facts of each case). The critical purpose of adequate protection, however, is (i) to guard against diminution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creditor's interest in collateral during the period when such collateral is being used by the debtor and (ii) to preserve such secured creditors' position as of the date the bankruptcy was filed. Cent. Park Ave. Corp., 136 B.R. at 631 ("The goal of adequate protection is to safeguard the secured creditor from diminution in the value of its interest"); In re Dunes Casino Hotel, 69 B.R. 784, 793 (Bankr. D. N.J. 1986)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]dequate protection is designed to preserve the secured creditor's position at the time of the bankruptcy"); In re Beker Indus. Corp., 58 B.R. at 736; see also In re Nice, 355 B.R. 554, 563 (Bankr. N.D. Va. 2006) ("adequate protection is solely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function of preserving the value of the creditor's secured claim as of the petition date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continued use of collateral").</w:t>
      </w:r>
    </w:p>
    <w:p>
      <w:pPr>
        <w:keepNext w:val="0"/>
        <w:spacing w:before="120" w:after="0" w:line="260" w:lineRule="exact"/>
        <w:ind w:left="1080" w:right="0" w:firstLine="0"/>
        <w:jc w:val="left"/>
      </w:pPr>
      <w:r>
        <w:rPr>
          <w:rFonts w:ascii="Times New Roman" w:hAnsi="Times New Roman" w:eastAsia="Times New Roman" w:cs="Times New Roman"/>
          <w:b/>
          <w:sz w:val="24"/>
        </w:rPr>
        <w:t>THE COURT SHOULD APPROVE THE DIP FACILITY</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the Debtors determined that it was necessary to commence these cases to allow them to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and to preserve the value of their business enterprise, the Debtors endeavored to identify potential sources of postpetition financing. Based on discussions with several potential third-party lenders, the Debtors determined that adequate postpetition financing solely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junior priority basis to the Prepetition Lenders was not possible. Further, the Debtors are not aware of any significant unencumbered assets that could be pledged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lender, thereby making it impossible to obtain financing. Without access to postpetition financing [and the ability to use cash collateral], the Debtors would be unable to operate their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would likely cause the Debtors to cease operations and destroy the value of their business enterprise, to the detriment of all parties-in-interest. Through the DIP Facility, [including the ability thereunder to use cash collateral in accordance with the Budget,] the Debtors would be able to preserve the value of their assets throughout the duration of these cases. Moreover, the terms of the DIP Facility are fair and reasonable given the Debtors' circumstances and reflect the exercise of their sound business judgment, as is consistent with their fiduciary duties.</w:t>
      </w:r>
    </w:p>
    <w:p>
      <w:pPr>
        <w:keepNext w:val="0"/>
        <w:spacing w:before="120" w:after="0" w:line="260" w:lineRule="exact"/>
        <w:ind w:left="1080" w:right="0" w:firstLine="0"/>
        <w:jc w:val="left"/>
      </w:pPr>
      <w:r>
        <w:rPr>
          <w:rFonts w:ascii="Times New Roman" w:hAnsi="Times New Roman" w:eastAsia="Times New Roman" w:cs="Times New Roman"/>
          <w:b/>
          <w:sz w:val="24"/>
        </w:rPr>
        <w:t>No Adequate Alternative to the DIP Facility is Available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receive Court approval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priming lien,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required to demonstrate only that, notwithstanding its good faith and best efforts, credit was unavailable without the protections potential lenders would receive pursuant to Sections 364(c) and (d) of the Bankruptcy Code. See Bray v. Shenandoah Fed. Says, and Loan Assoc. (In re Snowshoe Co), 789 F.2d 1085, 1088 (4th Cir. 1986) (affirming district court's approval of priming lien where "trustee had demonstrated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that credit was not available without the senior lien"); Cent. Park Ave., 136 B.R. at 630-31 (although "debtor must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obtain credit without priming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lien, it need not seek alternate financing from every lender"). [The vast majority of the Debtors' properties are secured by the Prepetition Lenders' first-priority liens.] Because of the substantial amount of the prepetition debt, obtaining the required amount of new financing in the form of unsecured debt or by offering prospective lenders claims for administrative expenses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option. [Moreover, the Prepetition Lenders would not have agreed to the Debtors' granting any senior or pari passu liens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third-party debtor-in-possession lender. Indeed, any non-consensual attempt to prime the liens of the Prepetition Lenders would be costly and distracting, with potentially disastrous consequences for the Debtors and their estates.</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case, the Prepetition Lenders have consented to the priming of their liens, provided the relief requested herein is granted and the DIP Orders are entered. In sum, the Debtors currently cannot obtain adequate alternative financing terms more favorable than those provided by the DIP Lenders under the DIP Facility.]</w:t>
      </w:r>
    </w:p>
    <w:p>
      <w:pPr>
        <w:keepNext w:val="0"/>
        <w:spacing w:before="120" w:after="0" w:line="260" w:lineRule="exact"/>
        <w:ind w:left="1080" w:right="0" w:firstLine="0"/>
        <w:jc w:val="left"/>
      </w:pPr>
      <w:r>
        <w:rPr>
          <w:rFonts w:ascii="Times New Roman" w:hAnsi="Times New Roman" w:eastAsia="Times New Roman" w:cs="Times New Roman"/>
          <w:b/>
          <w:sz w:val="24"/>
        </w:rPr>
        <w:t>The DIP Facility is Necessary to Preserve the Value of the Debtors' Estates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DIP Facility is necessary to preserve and maintain the value of the Debtors' estates and the collateral securing the Prepetition Facility. [If the Debtors do not receive the additional liquidity to fund their ongoing operations as provided by the DIP Facility, they may be forced to cease,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significantly curtail their operations, such that they may not be able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forced liquidation of their assets. In that case, their assets would in all probability be sold for sufficiently less than the Debtors' going-concern value to the detriment of all parties-in-interest.] See In re Sun Healthcare Groups, Inc., 245 B.R. 779, 781 (Bankr. D. Del. 2000) (noting that the court had approved debtor-in-possession financing to "permit the Debtors to continue to operate to preserve their estates").</w:t>
      </w:r>
    </w:p>
    <w:p>
      <w:pPr>
        <w:keepNext w:val="0"/>
        <w:spacing w:before="120" w:after="0" w:line="260" w:lineRule="exact"/>
        <w:ind w:left="1080" w:right="0" w:firstLine="0"/>
        <w:jc w:val="left"/>
      </w:pPr>
      <w:r>
        <w:rPr>
          <w:rFonts w:ascii="Times New Roman" w:hAnsi="Times New Roman" w:eastAsia="Times New Roman" w:cs="Times New Roman"/>
          <w:b/>
          <w:sz w:val="24"/>
        </w:rPr>
        <w:t>The Terms of the DIP Credit Agreement are Fair, Reasonable, and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Given the Debtors' current circumstances, the terms of the DIP Credit Agreement are fair and reasonable. [First, the Debtors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concerted effort in good faith to obtain credit on the most favorable terms available. Despite the Debtors' broad search, no other lender was willing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stand-alone facility to which the Prepetition Lenders would consent. Obtaining such financing without consent would, as mentioned above, likely have resulted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expensive and distracting priming fight[, as well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similarly contentious battle over the use of cash collateral at the outset of these cases]. In view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disastrous scenario, the Debtors negotiated and evaluated various proposals from the DIP Lenders, and, eventually, reached agreement on the terms of the DIP Facility which the Debtors believe best suits their current and pressing need for new funding. The DIP Credit Agreement was negotiated by the parties at arms' length and in good faith.</w:t>
      </w:r>
    </w:p>
    <w:p>
      <w:pPr>
        <w:keepNext w:val="0"/>
        <w:spacing w:before="120" w:after="0" w:line="260" w:lineRule="exact"/>
        <w:ind w:left="1080" w:right="0" w:firstLine="0"/>
        <w:jc w:val="left"/>
      </w:pPr>
      <w:r>
        <w:rPr>
          <w:rFonts w:ascii="Times New Roman" w:hAnsi="Times New Roman" w:eastAsia="Times New Roman" w:cs="Times New Roman"/>
          <w:b/>
          <w:sz w:val="24"/>
        </w:rPr>
        <w:t>THE PREPETITION LENDERS ARE ADEQUATELY PROTECTED</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their interests in the collateral securing the Prepetition Facility constitute valid and perfected security interests and liens as of the Petition Date, the Prepetition Lenders are entitled to adequate protection of their interests in such collateral pursuant to Sections 361[, 363(e),] and 364(d) of the Bankruptcy Code[, which includes cash collateral]. Accordingly, the Debtors have agreed to provide the Prepetition Lenders with the Adequate Protection described both herein and in the DIP Credit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proposed Adequate Protection is intended to protect the Prepetition Lenders from any diminution in the value of their collateral securing the Prepetition Facility during the period it is proposed to be used by the Debtors postpetition. See, e.g., In re Kain, 86 B.R. 506, 513 (Bankr. W.D. Mich. 1988); In re Dunes Casino Hotel, 69 B.R. 784, 793 (Bankr. D. N.J. 1986) ("[</w:t>
      </w:r>
      <w:r>
        <w:rPr>
          <w:rFonts w:ascii="Times New Roman" w:hAnsi="Times New Roman" w:eastAsia="Times New Roman" w:cs="Times New Roman"/>
          <w:b/>
          <w:sz w:val="24"/>
        </w:rPr>
        <w:t>a</w:t>
      </w:r>
      <w:r>
        <w:rPr>
          <w:rFonts w:ascii="Times New Roman" w:hAnsi="Times New Roman" w:eastAsia="Times New Roman" w:cs="Times New Roman"/>
          <w:b w:val="0"/>
          <w:sz w:val="24"/>
        </w:rPr>
        <w:t>]dequate protection is designed to preserve the secured creditor's position at the time of the bankruptcy"); In re Beker Indus. Corp., 58 B.R. 725, 736 (Bankr. S.D.N.Y. 1986).</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submit that the proposed Adequate Protection is fair and reasonable and in accordance with Sections 361(1) and (2). The Debtors understand that the Prepetition Lenders have agreed that the Adequate Protection is sufficient for them [to consent to the Debtors' use of cash collateral while the DIP Facility remains in place].</w:t>
      </w:r>
    </w:p>
    <w:p>
      <w:pPr>
        <w:keepNext w:val="0"/>
        <w:spacing w:before="120" w:after="0" w:line="260" w:lineRule="exact"/>
        <w:ind w:left="1080" w:right="0" w:firstLine="0"/>
        <w:jc w:val="left"/>
      </w:pPr>
      <w:r>
        <w:rPr>
          <w:rFonts w:ascii="Times New Roman" w:hAnsi="Times New Roman" w:eastAsia="Times New Roman" w:cs="Times New Roman"/>
          <w:b/>
          <w:sz w:val="24"/>
        </w:rPr>
        <w:t>APPLICATION OF THE BUSINESS JUDGMENT STANDARD</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described above, after appropriate investigation and analysis, the Debtors' management and advisors have concluded that the DIP Facility provides the best alternative available under the circumstances of these Chapter 11 cases. Bankruptcy courts routinely defer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business judgment on most business decisions, including the decision to borrow money, unless such decision is arbitrary and capricious. See In re Trans World Airlines, Inc., 163 B.R. 964, 974 (Bankr. D. Del. 1994) (noting that the interim loan, receivables facility, and asset-based facility were approved because (i) they "reflect[ed] sound and prudent business judgment on the part of [the debtor]" and (ii) "[were] reasonable under the circumstances and in the best interest of [the debtor] and its creditors"). In fact, "[m]ore exacting scrutiny [than the business judgment standard] would slow the administration of the Debtor's estate and increase its costs, interfere with the Bankruptcy Code's provision for private control of administration of the estate, and threaten the court's ability to control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impartially." Richmond Leasing Co. v. Capital Bank. N.</w:t>
      </w:r>
      <w:r>
        <w:rPr>
          <w:rFonts w:ascii="Times New Roman" w:hAnsi="Times New Roman" w:eastAsia="Times New Roman" w:cs="Times New Roman"/>
          <w:b/>
          <w:sz w:val="24"/>
        </w:rPr>
        <w:t>A</w:t>
      </w:r>
      <w:r>
        <w:rPr>
          <w:rFonts w:ascii="Times New Roman" w:hAnsi="Times New Roman" w:eastAsia="Times New Roman" w:cs="Times New Roman"/>
          <w:b w:val="0"/>
          <w:sz w:val="24"/>
        </w:rPr>
        <w:t>., 762 F.2d 1303, 1311 (5th Cir. 1985).</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have exercised sound business judgment in determining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postpetition credit facility along the lines of the DIP Facility is appropriate and have satisfied the legal prerequisites to incur debt under the DIP Facility. Accordingly, the Court should grant the Debtors the authority to enter into the DIP Facility and obtain funds from the DIP Lenders on the secured and administrative super-priority basis described above, pursuant to Sections 364(c) and (d).</w:t>
      </w:r>
    </w:p>
    <w:p>
      <w:pPr>
        <w:keepNext w:val="0"/>
        <w:spacing w:before="120" w:after="0" w:line="260" w:lineRule="exact"/>
        <w:ind w:left="1080" w:right="0" w:firstLine="0"/>
        <w:jc w:val="left"/>
      </w:pPr>
      <w:r>
        <w:rPr>
          <w:rFonts w:ascii="Times New Roman" w:hAnsi="Times New Roman" w:eastAsia="Times New Roman" w:cs="Times New Roman"/>
          <w:b/>
          <w:sz w:val="24"/>
        </w:rPr>
        <w:t>MODIFICATION OF THE AUTOMATIC STAY</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Pursuant to the DIP Credit Agreement, the DIP Orders will provide that, pursuant to Section 362, the automatic stay is modified to permit the DIP Lenders to exercise any and all remedies and take such actions as permitted under the DIP Credit Agreement, as if no case were pending under the Bankruptcy Code three days following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default with the Court; provided, however, if the Debtors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expedited hearing with the Court, the DIP Lenders shall not exercise remedies until further order of the Court. The Debtors submit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of the automatic stay of this kind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and standard feature of postpetition debtor-in-possession financing facilities, and that, in the Debtors' business judgment, such modification is reasonable and fair under the circumstances.</w:t>
      </w:r>
    </w:p>
    <w:p>
      <w:pPr>
        <w:keepNext w:val="0"/>
        <w:spacing w:before="120" w:after="0" w:line="260" w:lineRule="exact"/>
        <w:ind w:left="1080" w:right="0" w:firstLine="0"/>
        <w:jc w:val="left"/>
      </w:pPr>
      <w:r>
        <w:rPr>
          <w:rFonts w:ascii="Times New Roman" w:hAnsi="Times New Roman" w:eastAsia="Times New Roman" w:cs="Times New Roman"/>
          <w:b/>
          <w:sz w:val="24"/>
        </w:rPr>
        <w:t>WAIVER OF BANKRUPTCY RULE 6004(h)</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account of the immediate and pressing need for the Debtors to obtain postpetition financing to preserve the value of their estates and continue to remain in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the Debtors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14-day period set forth in Bankruptcy Rule 6004(h), and any other similar stays under the Bankruptcy Code, the Bankruptcy Rules, the Local Bankruptcy Rules, and any applicable orders of this Court.</w:t>
      </w:r>
    </w:p>
    <w:p>
      <w:pPr>
        <w:keepNext w:val="0"/>
        <w:spacing w:before="120" w:after="0" w:line="260" w:lineRule="exact"/>
        <w:ind w:left="1080" w:right="0" w:firstLine="0"/>
        <w:jc w:val="left"/>
      </w:pPr>
      <w:r>
        <w:rPr>
          <w:rFonts w:ascii="Times New Roman" w:hAnsi="Times New Roman" w:eastAsia="Times New Roman" w:cs="Times New Roman"/>
          <w:b/>
          <w:sz w:val="24"/>
        </w:rPr>
        <w:t>SATISFACTION OF BANKRUPTCY RULE 4001[(b)(2) and] (c)(2)</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Pursuant to Bankruptcy Rule 4001[(b)(2) and] (c)(2), the Court may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obtain credit [and use cash collateral] and to authorize such [use and] credit within the first 14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only if that relief is necessary to avoid immediate and irreparable harm. Permitting the Debtors to obtain postpetition financing [and use cash collateral] on the terms set forth herein or in any order approving this Motion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 final basis is necessary to avoid the immediate and irreparable harm that could occur if the Debtors were unable to obtain postpetition financing [and use cash collateral]. Accordingly, the Debtors submit that they have satisfied the requirements of Bankruptcy Rule 4001[(b)(2) and] (c)(2) with respect to the relief requested in this Motion.</w:t>
      </w:r>
    </w:p>
    <w:p>
      <w:pPr>
        <w:keepNext w:val="0"/>
        <w:spacing w:before="120" w:after="0" w:line="260" w:lineRule="exact"/>
        <w:ind w:left="108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WHEREFORE, the Debtors respectfully request (i) immediate entry of the Interim DIP Order, (ii) entry of the Final DIP Order after the Final Hearing, and (iii) granting such other and further relief as is this Court may deem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Proposed Counsel to Debtors and Debtors in Possession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