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Director Resignation Policy</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[Company Name] Director Resignation Policy</w:t>
      </w:r>
    </w:p>
    <w:p>
      <w:pPr>
        <w:keepNext w:val="0"/>
        <w:spacing w:before="120" w:after="0" w:line="260" w:lineRule="exact"/>
        <w:ind w:left="360" w:right="0" w:firstLine="0"/>
        <w:jc w:val="left"/>
      </w:pPr>
      <w:r>
        <w:rPr>
          <w:rFonts w:ascii="Times New Roman" w:hAnsi="Times New Roman" w:eastAsia="Times New Roman" w:cs="Times New Roman"/>
          <w:b w:val="0"/>
          <w:sz w:val="24"/>
        </w:rPr>
        <w:t>Director Resignation - Change in Occupation or Business Association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principal occupation or business association changes [significantly] from the position such director held when originally invited to join the Board of Directors (the “Board”), the director shall tender [in writing]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resign to the [Chairman of the Nominating and Corporate Governance Committee]. The [Nominating and Corporate Governance Committee] shall review whether it would be appropriate for the director to continue serving on the Board and recommend to the Board whether, in light of the circumstances, the Board should accept the proposed resignation or request that the director continue to serve. [Directors are also expected to inform the Chairman of the Nominating and Corporate Governance Committee of other events that could reasonably be perceived to be relevant to consideration about ongoing independence.]</w:t>
      </w:r>
    </w:p>
    <w:p>
      <w:pPr>
        <w:keepNext w:val="0"/>
        <w:spacing w:before="120" w:after="0" w:line="260" w:lineRule="exact"/>
        <w:ind w:left="360" w:right="0" w:firstLine="0"/>
        <w:jc w:val="left"/>
      </w:pPr>
      <w:r>
        <w:rPr>
          <w:rFonts w:ascii="Times New Roman" w:hAnsi="Times New Roman" w:eastAsia="Times New Roman" w:cs="Times New Roman"/>
          <w:b w:val="0"/>
          <w:sz w:val="24"/>
        </w:rPr>
        <w:t>Director Resignation – Majority Voting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At any shareholder meeting at which directors are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uncontested election, any incumbent nominee for director who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number of votes “withheld” from his or her election than votes “for” such election shall [promptly] tender his or her resignation [in writing] from the Board and all committees thereof to the [Chairman of the Nominating and Corporate Governance Committee].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[Nominating and Corporate Governance Committee] shall assess the appropriateness of such nominee continuing to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shall recommend to the Board the action to be taken with respect to such tendered resignation. Any director who tenders his or her resignation pursuant to this provision shall not participate in the [Nominating and Corporate Governance Committee] recommendation or Board action regarding whether to accept the resignation offer. If each member of the [Nominating and Corporate Governance Committee] fails to receive the required vote in favor of his or her election in the same election, then those independent directors who did receive the required vote shall consider the resignation offers and recommend to the Board whether to accept them.</w:t>
      </w:r>
    </w:p>
    <w:p>
      <w:pPr>
        <w:keepNext w:val="0"/>
        <w:spacing w:before="200" w:after="0" w:line="260" w:lineRule="exact"/>
        <w:ind w:left="720" w:right="0" w:firstLine="0"/>
        <w:jc w:val="both"/>
      </w:pPr>
      <w:r>
        <w:rPr>
          <w:rFonts w:ascii="Times New Roman" w:hAnsi="Times New Roman" w:eastAsia="Times New Roman" w:cs="Times New Roman"/>
          <w:b w:val="0"/>
          <w:sz w:val="24"/>
        </w:rPr>
        <w:t>Within [90 days] following certification of the shareholder vote, the Board will act on the tendered resignation and publicly disclose its decision via press release [and on Form 8-K filed with the Securities and Exchange Commission].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