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Disclosure Committee Charter</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Disclosure Committee Charter (the "</w:t>
      </w:r>
      <w:r>
        <w:rPr>
          <w:rFonts w:ascii="Times New Roman" w:hAnsi="Times New Roman" w:eastAsia="Times New Roman" w:cs="Times New Roman"/>
          <w:b w:val="0"/>
          <w:sz w:val="24"/>
        </w:rPr>
        <w:t>Charter</w:t>
      </w:r>
      <w:r>
        <w:rPr>
          <w:rFonts w:ascii="Times New Roman" w:hAnsi="Times New Roman" w:eastAsia="Times New Roman" w:cs="Times New Roman"/>
          <w:b w:val="0"/>
          <w:sz w:val="24"/>
        </w:rPr>
        <w:t>") has been adopted by the Chief Executive Officer (the "</w:t>
      </w:r>
      <w:r>
        <w:rPr>
          <w:rFonts w:ascii="Times New Roman" w:hAnsi="Times New Roman" w:eastAsia="Times New Roman" w:cs="Times New Roman"/>
          <w:b w:val="0"/>
          <w:sz w:val="24"/>
        </w:rPr>
        <w:t>CEO</w:t>
      </w:r>
      <w:r>
        <w:rPr>
          <w:rFonts w:ascii="Times New Roman" w:hAnsi="Times New Roman" w:eastAsia="Times New Roman" w:cs="Times New Roman"/>
          <w:b w:val="0"/>
          <w:sz w:val="24"/>
        </w:rPr>
        <w:t>") and Chief Financial Officer (the "</w:t>
      </w:r>
      <w:r>
        <w:rPr>
          <w:rFonts w:ascii="Times New Roman" w:hAnsi="Times New Roman" w:eastAsia="Times New Roman" w:cs="Times New Roman"/>
          <w:b w:val="0"/>
          <w:sz w:val="24"/>
        </w:rPr>
        <w:t>CFO</w:t>
      </w:r>
      <w:r>
        <w:rPr>
          <w:rFonts w:ascii="Times New Roman" w:hAnsi="Times New Roman" w:eastAsia="Times New Roman" w:cs="Times New Roman"/>
          <w:b w:val="0"/>
          <w:sz w:val="24"/>
        </w:rPr>
        <w:t>," together with the CEO, the "</w:t>
      </w:r>
      <w:r>
        <w:rPr>
          <w:rFonts w:ascii="Times New Roman" w:hAnsi="Times New Roman" w:eastAsia="Times New Roman" w:cs="Times New Roman"/>
          <w:b w:val="0"/>
          <w:sz w:val="24"/>
        </w:rPr>
        <w:t>Senior Officers</w:t>
      </w:r>
      <w:r>
        <w:rPr>
          <w:rFonts w:ascii="Times New Roman" w:hAnsi="Times New Roman" w:eastAsia="Times New Roman" w:cs="Times New Roman"/>
          <w:b w:val="0"/>
          <w:sz w:val="24"/>
        </w:rPr>
        <w:t>") of [Name of Entity] (the "</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The Disclosure Committee (the "</w:t>
      </w:r>
      <w:r>
        <w:rPr>
          <w:rFonts w:ascii="Times New Roman" w:hAnsi="Times New Roman" w:eastAsia="Times New Roman" w:cs="Times New Roman"/>
          <w:b w:val="0"/>
          <w:sz w:val="24"/>
        </w:rPr>
        <w:t>Committee</w:t>
      </w:r>
      <w:r>
        <w:rPr>
          <w:rFonts w:ascii="Times New Roman" w:hAnsi="Times New Roman" w:eastAsia="Times New Roman" w:cs="Times New Roman"/>
          <w:b w:val="0"/>
          <w:sz w:val="24"/>
        </w:rPr>
        <w:t>") shall review and reassess this Charter annually and submit any recommended changes to the Senior Officers for approval.</w:t>
      </w:r>
    </w:p>
    <w:p>
      <w:pPr>
        <w:keepNext w:val="0"/>
        <w:spacing w:before="120" w:after="0" w:line="260" w:lineRule="exact"/>
        <w:ind w:left="36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objective of the Committee is to ensure that all public disclosures, including those required to be furnished or filed by the Company with the Securities and Exchange Commission (the "</w:t>
      </w:r>
      <w:r>
        <w:rPr>
          <w:rFonts w:ascii="Times New Roman" w:hAnsi="Times New Roman" w:eastAsia="Times New Roman" w:cs="Times New Roman"/>
          <w:b w:val="0"/>
          <w:sz w:val="24"/>
        </w:rPr>
        <w:t>SEC</w:t>
      </w:r>
      <w:r>
        <w:rPr>
          <w:rFonts w:ascii="Times New Roman" w:hAnsi="Times New Roman" w:eastAsia="Times New Roman" w:cs="Times New Roman"/>
          <w:b w:val="0"/>
          <w:sz w:val="24"/>
        </w:rPr>
        <w:t>") pursuant to the Securities Exchange Act of 1934, as amended, or distributed to its security holders or the investment community be (i) accurate, complete and timely; (ii) fairly present, in all material respects, the Company's financial condition, results of operations and cash flows; and (iii) meet any other applicable legal, regulatory or stock exchange listing requirements.</w:t>
      </w:r>
    </w:p>
    <w:p>
      <w:pPr>
        <w:keepNext w:val="0"/>
        <w:spacing w:before="120" w:after="0" w:line="260" w:lineRule="exact"/>
        <w:ind w:left="36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Responsibilities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Committee shall assist the Senior Officers in fulfilling their responsibility for overseeing the accuracy and timeliness of the disclosures made by the Company and shall be responsible for the following tasks, in each case subject to the supervision and oversight of the Senior Officers: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Disclosure Statements.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Committee shall review and supervise the preparation and communication of the Company's: (i) periodic and current reports, proxy statements, registration statements and any other information filed with or furnished with the SEC; (ii) offering circulars or similar documents distributed in connection with private placements and other securities offerings exempt from federal registration; (iii) press releases containing financial information, earnings guidance, information about material acquisitions or dispositions, conference call scripts or other information material to the Company's security holders (determined in accordance with procedures approved by the Committee); (iv) other statements broadly disseminated to security holders by the Company; (v) presentations to analysts and the investment community; and (iv) presentations to ratings agencies (collectively, the "</w:t>
      </w:r>
      <w:r>
        <w:rPr>
          <w:rFonts w:ascii="Times New Roman" w:hAnsi="Times New Roman" w:eastAsia="Times New Roman" w:cs="Times New Roman"/>
          <w:b w:val="0"/>
          <w:sz w:val="24"/>
        </w:rPr>
        <w:t>Disclosure Statements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Disclosure Controls.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Committee shall design, establish, approve, review and maintain controls and other procedures (the "</w:t>
      </w:r>
      <w:r>
        <w:rPr>
          <w:rFonts w:ascii="Times New Roman" w:hAnsi="Times New Roman" w:eastAsia="Times New Roman" w:cs="Times New Roman"/>
          <w:b w:val="0"/>
          <w:sz w:val="24"/>
        </w:rPr>
        <w:t>Disclosure Controls</w:t>
      </w:r>
      <w:r>
        <w:rPr>
          <w:rFonts w:ascii="Times New Roman" w:hAnsi="Times New Roman" w:eastAsia="Times New Roman" w:cs="Times New Roman"/>
          <w:b w:val="0"/>
          <w:sz w:val="24"/>
        </w:rPr>
        <w:t xml:space="preserve">"), which may include procedures currently used by the Company, to ensure that (i) material information about the Company, including information related to its business and financial performance, is reliably aggregated and communicated to the Committee, management and the Senior Officers as appropriate; (ii) decisions made regarding disclosures are timely, informed, and involve appropriate decision-makers; (iii) the company's Disclosure Statements are accurate and complete in all material respects; and (iv) material information about the company is communicated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basis, in compliance with applicable regulations.</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Evaluation of Effectiveness.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Committee shall monitor the effectiveness of the Disclosure Controls not less than 90 days prior to the filing of the Company's Annual Report on Form 10-K and each Quarterly Report on Form 10-Q (collectively, the "</w:t>
      </w:r>
      <w:r>
        <w:rPr>
          <w:rFonts w:ascii="Times New Roman" w:hAnsi="Times New Roman" w:eastAsia="Times New Roman" w:cs="Times New Roman"/>
          <w:b w:val="0"/>
          <w:sz w:val="24"/>
        </w:rPr>
        <w:t>Periodic Reports</w:t>
      </w:r>
      <w:r>
        <w:rPr>
          <w:rFonts w:ascii="Times New Roman" w:hAnsi="Times New Roman" w:eastAsia="Times New Roman" w:cs="Times New Roman"/>
          <w:b w:val="0"/>
          <w:sz w:val="24"/>
        </w:rPr>
        <w:t xml:space="preserve">"), and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ongoing basis. The Committee shall also review,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basis, the performance of the Committee and its members, including compliance of the Committee with this Charter, and the adequacy of this Charter. The Committee shall communicate to management, Senior Officers and the Audit Committee, the conclusions of its evaluations along with any significant changes or proposed changes to the Disclosure Controls.</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Prior to the filing of each Periodic Report, the Committee shall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certification to the Senior Officers as to (i) the Company's compliance with the Disclosure Controls and the Committee's proper performance of its responsibilities and (ii) the Committee's conclusions resulting from its evaluation of the effectiveness of the Disclosure Controls and, if appropriate, the corrective action taken to rectify any significant deficiency or material weakness in its policies or procedures since its last certification.</w:t>
      </w:r>
    </w:p>
    <w:p>
      <w:pPr>
        <w:keepNext w:val="0"/>
        <w:spacing w:before="120" w:after="0" w:line="260" w:lineRule="exact"/>
        <w:ind w:left="36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Responsibilities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Committee shall also have such other responsibilities as the Senior Officers may assign to it from time to time. Any Senior Officers may, by notification in writing, assume any duty of the Committee personally at any time.</w:t>
      </w:r>
    </w:p>
    <w:p>
      <w:pPr>
        <w:keepNext w:val="0"/>
        <w:spacing w:before="120" w:after="0" w:line="260" w:lineRule="exact"/>
        <w:ind w:left="36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 and Operation of the Committee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Composition of the Committee.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Committee shall initially consist of individuals in the following positions within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  [Chief Accounting Officer (or the controller)]</w:t>
      </w:r>
    </w:p>
    <w:p>
      <w:pPr>
        <w:keepNext w:val="0"/>
        <w:spacing w:before="200" w:after="0" w:line="260" w:lineRule="exact"/>
        <w:ind w:left="1080" w:right="0" w:firstLine="0"/>
        <w:jc w:val="both"/>
      </w:pPr>
      <w:r>
        <w:rPr>
          <w:rFonts w:ascii="Times New Roman" w:hAnsi="Times New Roman" w:eastAsia="Times New Roman" w:cs="Times New Roman"/>
          <w:b w:val="0"/>
          <w:sz w:val="24"/>
        </w:rPr>
        <w:t>• [General Counsel (or other senior legal official with responsibility for disclosure matters who reports to the general counsel)]</w:t>
      </w:r>
    </w:p>
    <w:p>
      <w:pPr>
        <w:keepNext w:val="0"/>
        <w:spacing w:before="200" w:after="0" w:line="260" w:lineRule="exact"/>
        <w:ind w:left="1080" w:right="0" w:firstLine="0"/>
        <w:jc w:val="both"/>
      </w:pPr>
      <w:r>
        <w:rPr>
          <w:rFonts w:ascii="Times New Roman" w:hAnsi="Times New Roman" w:eastAsia="Times New Roman" w:cs="Times New Roman"/>
          <w:b w:val="0"/>
          <w:sz w:val="24"/>
        </w:rPr>
        <w:t>• [CFO]</w:t>
      </w:r>
    </w:p>
    <w:p>
      <w:pPr>
        <w:keepNext w:val="0"/>
        <w:spacing w:before="200" w:after="0" w:line="260" w:lineRule="exact"/>
        <w:ind w:left="1080" w:right="0" w:firstLine="0"/>
        <w:jc w:val="both"/>
      </w:pPr>
      <w:r>
        <w:rPr>
          <w:rFonts w:ascii="Times New Roman" w:hAnsi="Times New Roman" w:eastAsia="Times New Roman" w:cs="Times New Roman"/>
          <w:b w:val="0"/>
          <w:sz w:val="24"/>
        </w:rPr>
        <w:t>• [Head of Investor Relations]</w:t>
      </w:r>
    </w:p>
    <w:p>
      <w:pPr>
        <w:keepNext w:val="0"/>
        <w:spacing w:before="200" w:after="0" w:line="260" w:lineRule="exact"/>
        <w:ind w:left="1080" w:right="0" w:firstLine="0"/>
        <w:jc w:val="both"/>
      </w:pPr>
      <w:r>
        <w:rPr>
          <w:rFonts w:ascii="Times New Roman" w:hAnsi="Times New Roman" w:eastAsia="Times New Roman" w:cs="Times New Roman"/>
          <w:b w:val="0"/>
          <w:sz w:val="24"/>
        </w:rPr>
        <w:t>• [Head of Accounting Policies and SEC Reporting]</w:t>
      </w:r>
    </w:p>
    <w:p>
      <w:pPr>
        <w:keepNext w:val="0"/>
        <w:spacing w:before="200" w:after="0" w:line="260" w:lineRule="exact"/>
        <w:ind w:left="1080" w:right="0" w:firstLine="0"/>
        <w:jc w:val="both"/>
      </w:pPr>
      <w:r>
        <w:rPr>
          <w:rFonts w:ascii="Times New Roman" w:hAnsi="Times New Roman" w:eastAsia="Times New Roman" w:cs="Times New Roman"/>
          <w:b w:val="0"/>
          <w:sz w:val="24"/>
        </w:rPr>
        <w:t>• [Head of Internal Audit]</w:t>
      </w:r>
    </w:p>
    <w:p>
      <w:pPr>
        <w:keepNext w:val="0"/>
        <w:spacing w:before="200" w:after="0" w:line="260" w:lineRule="exact"/>
        <w:ind w:left="1080" w:right="0" w:firstLine="0"/>
        <w:jc w:val="both"/>
      </w:pPr>
      <w:r>
        <w:rPr>
          <w:rFonts w:ascii="Times New Roman" w:hAnsi="Times New Roman" w:eastAsia="Times New Roman" w:cs="Times New Roman"/>
          <w:b w:val="0"/>
          <w:sz w:val="24"/>
        </w:rPr>
        <w:t>• [Head of Risk Management]</w:t>
      </w:r>
    </w:p>
    <w:p>
      <w:pPr>
        <w:keepNext w:val="0"/>
        <w:spacing w:before="200" w:after="0" w:line="260" w:lineRule="exact"/>
        <w:ind w:left="1080" w:right="0" w:firstLine="0"/>
        <w:jc w:val="both"/>
      </w:pPr>
      <w:r>
        <w:rPr>
          <w:rFonts w:ascii="Times New Roman" w:hAnsi="Times New Roman" w:eastAsia="Times New Roman" w:cs="Times New Roman"/>
          <w:b w:val="0"/>
          <w:sz w:val="24"/>
        </w:rPr>
        <w:t>Such members may be replaced, or new members added at any time from time to time by the Senior Officers. The Committee may invite non-Committee members, including internal and external audit and legal representatives and company employees, to participate in or observe Committee meetings as appropriate.</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Consultation and Delegation by the Committee.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Committee may consult outside consultants or advisors as directed or approved by any of the Senior Officers. The Committee may solicit input from officers, employees and committees of the Company, including those responsible for monitoring the SEC's disclosure rules and changes in financial reporting requirements, representatives from corporate affairs, segment and division heads and financial officers, as applicable, with respect to specific disclosure issues. The Committee may delegate its duties to one or more individuals and form subcommittees composed of Committee and/or non-Committee members to consider, draft, sub-certify, or otherwise contribute to developing and reviewing proposed disclosures. The responsibility for overseeing any such delegations shall remain with the Committee.</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Access to Information.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 discharging its duties, the Committee shall have full access to all Company books and records, facilities and personnel, including corporate audit.</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Chairperson.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One member of the Committee shall be appointed by the Senior Officers as chairperson. The chairperson shall be responsible for scheduling and presiding over meetings and for preparing agendas. Any question of interpretation of this Charter or the Committee's procedures shall be determined by any Senior Officer or, in the absence of both, the chairperson.</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Secretary.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One member of the Committee shall be appointed by the Senior Officers as Secretary. The Secretary shall be responsible for preparing meeting minutes and written summaries of actions by the Committee which shall be provided to Senior Officers and to the audit committee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Meetings.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Committee shall meet or act at least quarterly and as frequently as circumstances dictate to carry out its responsibilities under this Charter, taking into account developments since the most recent meeting, including changes in the Company's organization and business performance and any change in economic, regulatory or industry conditions. Any Senior Officer or member of the Committee may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Committee.</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Designations.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member of the Committee shall appoint in writing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designee or designees who can act in such member's behalf.</w:t>
      </w:r>
    </w:p>
    <w:p>
      <w:pPr>
        <w:keepNext w:val="0"/>
        <w:spacing w:before="200" w:after="0" w:line="260" w:lineRule="exact"/>
        <w:ind w:left="720" w:right="0" w:firstLine="0"/>
        <w:jc w:val="both"/>
      </w:pPr>
      <w:r>
        <w:rPr>
          <w:rFonts w:ascii="Times New Roman" w:hAnsi="Times New Roman" w:eastAsia="Times New Roman" w:cs="Times New Roman"/>
          <w:b w:val="0"/>
          <w:sz w:val="24"/>
        </w:rPr>
        <w:t>The Committee may designate two or more individuals, at least one of whom shall be knowledgeable about financial reporting and another about SEC rules and regulations, who can, acting together, review and approve proposed disclosures (other than Periodic Reports) when time does not permit full Committee review.</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