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Dissolution of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mechanic’s lien filed by [name of mechanic’s lien claimant], of [address of mechanic’s lien claimant] [(General Contractor/Subcontractor/Design Professional/Supplier)]. by virtue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contract dated [effective date of contract] with [name of subcontractor, design professional, or supplier], of [address of subcontractor, design professional or supplier] [(Subcontractor/Design Professional/Supplier)], with regard to labor or materials, or labor and materials, or rental equipment, appliances, or tools used in the erection, alteration, repair or removal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building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lot of land owned by [name of owner] relative to the property located at [address of property subject to lien] is hereby resolved.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property is more properly described as follows: [legal description].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of Contract filing: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[County] County [registry of deeds/land court district] [at Book [book number], Page [page number]/as Document Number [document number]], on [date of recording of notice of contract]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Statement of Account filing: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[County] County [registry of deeds/land court district] [at Book [book number], Page [ page number]/as Document Number [document number]], on [date of recording of statement of account]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contractor, subcontractor, design professional, or supplier]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contractor, subcontractor, design professional, or supplier’s authorized agent]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[authorized agent’s title]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Commonwealth of Massachusetts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[day] day of [month and year], before me, the undersigned notary public, personally appeared [name of authorized agent of contractor, subcontractor, design professional or supplier], proved to me by satisfactory evidence of [known to me personally/[ type of identification provided]] to be the person whose name is signed on the within document, and acknowledged to me that [he/she] is authorized to execute this document on behalf of the [name of contractor, subcontractor, design professional, or supplier] and that the statements contained herein are true and accurate.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[name of notary public]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[expiration date of notary commission]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