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Drafting Guidance to AIA® Document A101™ (2017 Agreement between Owner and Contractor)</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by Brian J. O’Rourke, Verrill Dana LLP</w:t>
      </w:r>
    </w:p>
    <w:p>
      <w:pPr>
        <w:keepNext w:val="0"/>
        <w:spacing w:before="200" w:after="0" w:line="260" w:lineRule="exact"/>
        <w:ind w:left="0" w:right="0" w:firstLine="0"/>
        <w:jc w:val="both"/>
      </w:pPr>
      <w:r>
        <w:rPr>
          <w:rFonts w:ascii="Times New Roman" w:hAnsi="Times New Roman" w:eastAsia="Times New Roman" w:cs="Times New Roman"/>
          <w:b w:val="0"/>
          <w:sz w:val="24"/>
        </w:rPr>
        <w:t>This guidance includes drafting notes and alternative provisions to AIA® Document A101™ - 2017 Standard Form of Agreement Between Owner and Contractor (A101). Capitalized terms used in this guidance correspond to the terms used in A101.</w:t>
      </w:r>
    </w:p>
    <w:p>
      <w:pPr>
        <w:keepNext w:val="0"/>
        <w:spacing w:before="200" w:after="0" w:line="260" w:lineRule="exact"/>
        <w:ind w:left="0" w:right="0" w:firstLine="0"/>
        <w:jc w:val="both"/>
      </w:pPr>
      <w:r>
        <w:rPr>
          <w:rFonts w:ascii="Times New Roman" w:hAnsi="Times New Roman" w:eastAsia="Times New Roman" w:cs="Times New Roman"/>
          <w:b w:val="0"/>
          <w:sz w:val="24"/>
        </w:rPr>
        <w:t>To review form A101 see AIA® Document A101™ — 2017 (Standard Form of Agreement Between Owner and Contractor, Stipulated Sum Payment, Sample Form)​. Form A101 is typically used in conjunction with AIA® Document A201™ (A201) setting forth general conditions for the work. See AIA® Document A201™ — 2017 (Construction Contract General Conditions, Sample Form).</w:t>
      </w:r>
    </w:p>
    <w:p>
      <w:pPr>
        <w:keepNext w:val="0"/>
        <w:spacing w:before="200" w:after="0" w:line="260" w:lineRule="exact"/>
        <w:ind w:left="0" w:right="0" w:firstLine="0"/>
        <w:jc w:val="both"/>
      </w:pPr>
      <w:r>
        <w:rPr>
          <w:rFonts w:ascii="Times New Roman" w:hAnsi="Times New Roman" w:eastAsia="Times New Roman" w:cs="Times New Roman"/>
          <w:b/>
          <w:sz w:val="24"/>
        </w:rPr>
        <w:t>Page 1</w:t>
      </w:r>
    </w:p>
    <w:p>
      <w:pPr>
        <w:keepNext w:val="0"/>
        <w:spacing w:before="200" w:after="0" w:line="260" w:lineRule="exact"/>
        <w:ind w:left="0" w:right="0" w:firstLine="0"/>
        <w:jc w:val="both"/>
      </w:pPr>
      <w:r>
        <w:rPr>
          <w:rFonts w:ascii="Times New Roman" w:hAnsi="Times New Roman" w:eastAsia="Times New Roman" w:cs="Times New Roman"/>
          <w:b w:val="0"/>
          <w:sz w:val="24"/>
        </w:rPr>
        <w:t>The parties and the Project are identified on the first page of A101. When filling in the “blanks” on this portion of the form Contract, the drafter should clearly identify who the parties are that are entering into the agreement and clearly identify the Project to be built. The parties should be identified by their full legal names and addresses so that there is no ambiguity concerning who is entering into the Agreement. The Project description should be sufficiently complete so that the type of work to be performed is described and the location of the Project is explicitly identified. Any other pertinent information concerning the Project should be included on this page of the document.</w:t>
      </w:r>
    </w:p>
    <w:p>
      <w:pPr>
        <w:keepNext w:val="0"/>
        <w:spacing w:before="200" w:after="0" w:line="260" w:lineRule="exact"/>
        <w:ind w:left="0" w:right="0" w:firstLine="0"/>
        <w:jc w:val="both"/>
      </w:pPr>
      <w:r>
        <w:rPr>
          <w:rFonts w:ascii="Times New Roman" w:hAnsi="Times New Roman" w:eastAsia="Times New Roman" w:cs="Times New Roman"/>
          <w:b/>
          <w:sz w:val="24"/>
        </w:rPr>
        <w:t>Article 1 — The Contract Documents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Contract Documents are listed in Article 1 of A101 and identify all of the documents that make up the A101 that include: The “Agreement”, which is the A101 form itself, Conditions of the Contract (General, Supplementary and other Conditions), Drawings, Specifications, Addenda issued prior to execution of the Agreement and Modification executed after the Agreement. Generally, there are few modifications to Article 1. The Contract Documents are further enumerated and described in Article 9 of A101. Some drafters prefer to have the enumeration of the Contract Documents included at the same place in Article 1.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choose to add the following sentences at the end of Article 1 as additional text:</w:t>
      </w:r>
    </w:p>
    <w:p>
      <w:pPr>
        <w:keepNext w:val="0"/>
        <w:spacing w:before="200" w:after="0" w:line="260" w:lineRule="exact"/>
        <w:ind w:left="400" w:right="0" w:firstLine="0"/>
        <w:jc w:val="both"/>
      </w:pPr>
      <w:r>
        <w:rPr>
          <w:rFonts w:ascii="Times New Roman" w:hAnsi="Times New Roman" w:eastAsia="Times New Roman" w:cs="Times New Roman"/>
          <w:b w:val="0"/>
          <w:sz w:val="24"/>
        </w:rPr>
        <w:t xml:space="preserve">Unless specifically enumerated in the Agreement, the Contract Documents do not include the advertisement or invitation to bid, Instruction to Bidders, sample forms other information furnished by the Owner in anticipation of receiving bids or proposal. The Contractor’s bid or proposal or portion of addenda relating to bidding requirements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Document.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inconsistency between Drawings and Specification or within either document not clarified by addenda, the Contractor shall provide the better quality or greater quantity of Work in accordance with the Owner and Architect’s interpretation and instructions.</w:t>
      </w:r>
    </w:p>
    <w:p>
      <w:pPr>
        <w:keepNext w:val="0"/>
        <w:spacing w:before="200" w:after="0" w:line="260" w:lineRule="exact"/>
        <w:ind w:left="0" w:right="0" w:firstLine="0"/>
        <w:jc w:val="both"/>
      </w:pPr>
      <w:r>
        <w:rPr>
          <w:rFonts w:ascii="Times New Roman" w:hAnsi="Times New Roman" w:eastAsia="Times New Roman" w:cs="Times New Roman"/>
          <w:b w:val="0"/>
          <w:sz w:val="24"/>
        </w:rPr>
        <w:t>Some Owners will also seek to add the following language which is more often found in construction contracts when the project delivery method is Construction Management.</w:t>
      </w:r>
    </w:p>
    <w:p>
      <w:pPr>
        <w:keepNext w:val="0"/>
        <w:spacing w:before="200" w:after="0" w:line="260" w:lineRule="exact"/>
        <w:ind w:left="400" w:right="0" w:firstLine="0"/>
        <w:jc w:val="both"/>
      </w:pPr>
      <w:r>
        <w:rPr>
          <w:rFonts w:ascii="Times New Roman" w:hAnsi="Times New Roman" w:eastAsia="Times New Roman" w:cs="Times New Roman"/>
          <w:b w:val="0"/>
          <w:sz w:val="24"/>
        </w:rPr>
        <w:t xml:space="preserve">§ 1.2 Relationship of the parties The Contractor accepts the relationship of trust and confidence established by this Agreement and covenants with the Owner to cooperate with the Architect and exercise the Contractor’s best skill, efforts and judgment in furthering the interests of the Owner; to furnish efficient construction administration, management services and supervision; to furnish at all times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supply of workers and materials; and to perform the Work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expeditious and economical manner consistent with the Owner’s interests. The Owner agrees to furnish or approve,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information reasonably required by the Contractor and to make payments to the Contractor in accordance with the requirements of the Contract Documents.</w:t>
      </w:r>
    </w:p>
    <w:p>
      <w:pPr>
        <w:keepNext w:val="0"/>
        <w:spacing w:before="200" w:after="0" w:line="260" w:lineRule="exact"/>
        <w:ind w:left="0" w:right="0" w:firstLine="0"/>
        <w:jc w:val="both"/>
      </w:pPr>
      <w:r>
        <w:rPr>
          <w:rFonts w:ascii="Times New Roman" w:hAnsi="Times New Roman" w:eastAsia="Times New Roman" w:cs="Times New Roman"/>
          <w:b/>
          <w:sz w:val="24"/>
        </w:rPr>
        <w:t>Article 2 — The Work of This Contract</w:t>
      </w:r>
    </w:p>
    <w:p>
      <w:pPr>
        <w:keepNext w:val="0"/>
        <w:spacing w:before="200" w:after="0" w:line="260" w:lineRule="exact"/>
        <w:ind w:left="0" w:right="0" w:firstLine="0"/>
        <w:jc w:val="both"/>
      </w:pPr>
      <w:r>
        <w:rPr>
          <w:rFonts w:ascii="Times New Roman" w:hAnsi="Times New Roman" w:eastAsia="Times New Roman" w:cs="Times New Roman"/>
          <w:b w:val="0"/>
          <w:sz w:val="24"/>
        </w:rPr>
        <w:t>Article 2 of A101 requires the Contractor to complete the “Work” described in the Contract Documents. The parties may choose to highlight specific aspects of the Work and can add text in this section of the document. Otherwise the form language in this article is often left unchanged.</w:t>
      </w:r>
    </w:p>
    <w:p>
      <w:pPr>
        <w:keepNext w:val="0"/>
        <w:spacing w:before="200" w:after="0" w:line="260" w:lineRule="exact"/>
        <w:ind w:left="0" w:right="0" w:firstLine="0"/>
        <w:jc w:val="both"/>
      </w:pPr>
      <w:r>
        <w:rPr>
          <w:rFonts w:ascii="Times New Roman" w:hAnsi="Times New Roman" w:eastAsia="Times New Roman" w:cs="Times New Roman"/>
          <w:b/>
          <w:sz w:val="24"/>
        </w:rPr>
        <w:t>Article 3 — Date of Commencement and Substantial Completion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Article 3 of A101 sets forth the date of Commencement and required dates of completion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project. The form language is generally adequate, and Article 3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allowing the parties to provide that the Work will be completed in phases. The key issue here is to ensure that the deadlines are clear and unambiguous. Article 3 also provides that if the Contractor does not achieve Substantial Competition within the specified time-frame, any liquidated damages agreed upon by the parties pursuant to Section 4.5 will be assessed. Some states and jurisdictions now include statutory provisions that define Substantial Completion on private projects and practitioners should ensure that the text in their agreements is consistent with statutory requirements.</w:t>
      </w:r>
    </w:p>
    <w:p>
      <w:pPr>
        <w:keepNext w:val="0"/>
        <w:spacing w:before="200" w:after="0" w:line="260" w:lineRule="exact"/>
        <w:ind w:left="0" w:right="0" w:firstLine="0"/>
        <w:jc w:val="both"/>
      </w:pPr>
      <w:r>
        <w:rPr>
          <w:rFonts w:ascii="Times New Roman" w:hAnsi="Times New Roman" w:eastAsia="Times New Roman" w:cs="Times New Roman"/>
          <w:b/>
          <w:sz w:val="24"/>
        </w:rPr>
        <w:t>Article 4 — Contract Sum</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Article 4 of A101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listing of the Contract Sum provisions regarding payment for the Project. The provisions are straightforward and include language so that the Work, or portions of the Work, under the Contract can be paid for with Unit Prices and so that Alternate prices, if applicable to the Project, are also set forth in this portion of the document. As written, the provision is very simple, and the parties may choose to vary the language in this section in the event that the Contract Sum is to be calculated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complex manner. Section 4.5 allows the parties to set forth terms for liquidated damages, if any. Parties need to be aware of the law with respect to the enforceability liquidated damages in applicable jurisdiction. Further, if the work will be completed in phases, the parties should be sure to account for this in structuring the liquidated damages provision.</w:t>
      </w:r>
    </w:p>
    <w:p>
      <w:pPr>
        <w:keepNext w:val="0"/>
        <w:spacing w:before="200" w:after="0" w:line="260" w:lineRule="exact"/>
        <w:ind w:left="0" w:right="0" w:firstLine="0"/>
        <w:jc w:val="both"/>
      </w:pPr>
      <w:r>
        <w:rPr>
          <w:rFonts w:ascii="Times New Roman" w:hAnsi="Times New Roman" w:eastAsia="Times New Roman" w:cs="Times New Roman"/>
          <w:b/>
          <w:sz w:val="24"/>
        </w:rPr>
        <w:t>Article 5 — Payments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payment provisions for A101 are set forth in Article 5. The parties should determine if the Project on which they are working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making the payment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pay statute. If the Project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pay statute, then the agreement should refer to such statute and the terms of the agreement should be modified so that they comply with the prompt pay statute. Often, statutory requirements for prompt pay specify minimum time periods and shorter time periods to make payments are allowed (See Prompt Payment Acts and Lien Waivers (Private Construction) State Law Survey. In addition, A101 calls for payment applications to be submitted and approved by the Architect. Many Owners edit the standard form language so that payment applications are submitted to the Owner and Architect or simply the Owner alone or to another construction professional engaged by the Owner to evaluate payment applications.</w:t>
      </w:r>
    </w:p>
    <w:p>
      <w:pPr>
        <w:keepNext w:val="0"/>
        <w:spacing w:before="200" w:after="0" w:line="260" w:lineRule="exact"/>
        <w:ind w:left="0" w:right="0" w:firstLine="0"/>
        <w:jc w:val="both"/>
      </w:pPr>
      <w:r>
        <w:rPr>
          <w:rFonts w:ascii="Times New Roman" w:hAnsi="Times New Roman" w:eastAsia="Times New Roman" w:cs="Times New Roman"/>
          <w:b/>
          <w:sz w:val="24"/>
        </w:rPr>
        <w:t>Section 5.1 Progress Payments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Construction is usually paid for based on periodic progress payments so that the Contractor is paid for work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time period after the Work is completed. The Owner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interest in ensuring that the Contractor is only paid for work completed and materials purchased and delivered to the Project site. The time periods for periodic payments in A101 are to be filled in by the parties. If applicable, the parties need to ensure that the dates and time periods selected comply with any statute regarding prompt payment. Alternative language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may seek for Section 5.1 is shown in bold as follows:</w:t>
      </w:r>
    </w:p>
    <w:p>
      <w:pPr>
        <w:keepNext w:val="0"/>
        <w:spacing w:before="200" w:after="0" w:line="260" w:lineRule="exact"/>
        <w:ind w:left="400" w:right="0" w:firstLine="0"/>
        <w:jc w:val="both"/>
      </w:pPr>
      <w:r>
        <w:rPr>
          <w:rFonts w:ascii="Times New Roman" w:hAnsi="Times New Roman" w:eastAsia="Times New Roman" w:cs="Times New Roman"/>
          <w:b w:val="0"/>
          <w:sz w:val="24"/>
        </w:rPr>
        <w:t xml:space="preserve">§ 5.1.1 Based upon Applications for Payment submitted to the Owner and Architect by the Contractor and Certificates for Payment issued by the Architect, the Owner shall make progress payments of undisputed amounts on account of the Contract Sum to the Contractor as provided below and elsewhere in the Contract Documents, only upon receipt of partial lien waivers,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the Owner and/or in the form set forth in the General Conditions, from the Contractor, and for each Subcontractor and Supplier included in the respective Application for Payment, as required by the Owner.</w:t>
      </w:r>
    </w:p>
    <w:p>
      <w:pPr>
        <w:keepNext w:val="0"/>
        <w:spacing w:before="200" w:after="0" w:line="260" w:lineRule="exact"/>
        <w:ind w:left="0" w:right="0" w:firstLine="0"/>
        <w:jc w:val="both"/>
      </w:pPr>
      <w:r>
        <w:rPr>
          <w:rFonts w:ascii="Times New Roman" w:hAnsi="Times New Roman" w:eastAsia="Times New Roman" w:cs="Times New Roman"/>
          <w:b w:val="0"/>
          <w:sz w:val="24"/>
        </w:rPr>
        <w:t>Section 5.1.7 addresses Retainage. Pursuant to 5.1.7.3, the Contractor may apply for payment upon Substantial Completion of the Work that includes Retainage withheld from prior applications for payment. If the Owner wants more control over Retainage released upon Substantial Completion, it should insert appropriate language following the second sentence of Section 5.1.7.3, which allows the parties to identify any other conditions for release of Retainage upon Substantial Completion. However, the Owner needs to be aware whether or not retainage laws are applicable to the Project and if such laws are applicable then the Owner should draft retainage provisions to comply with such laws.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Section 5.1.8 requires the Owner to compensate the Contractor for “material delays” in achieving final completion that are not the fault of the Contractor. If the Owner cannot eliminate this provision, it will still want to define what amount of time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delay for the purpose of this section.</w:t>
      </w:r>
    </w:p>
    <w:p>
      <w:pPr>
        <w:keepNext w:val="0"/>
        <w:spacing w:before="200" w:after="0" w:line="260" w:lineRule="exact"/>
        <w:ind w:left="0" w:right="0" w:firstLine="0"/>
        <w:jc w:val="both"/>
      </w:pPr>
      <w:r>
        <w:rPr>
          <w:rFonts w:ascii="Times New Roman" w:hAnsi="Times New Roman" w:eastAsia="Times New Roman" w:cs="Times New Roman"/>
          <w:b/>
          <w:sz w:val="24"/>
        </w:rPr>
        <w:t>Section 5.2 Final Payment</w:t>
      </w:r>
    </w:p>
    <w:p>
      <w:pPr>
        <w:keepNext w:val="0"/>
        <w:spacing w:before="200" w:after="0" w:line="260" w:lineRule="exact"/>
        <w:ind w:left="0" w:right="0" w:firstLine="0"/>
        <w:jc w:val="both"/>
      </w:pPr>
      <w:r>
        <w:rPr>
          <w:rFonts w:ascii="Times New Roman" w:hAnsi="Times New Roman" w:eastAsia="Times New Roman" w:cs="Times New Roman"/>
          <w:b w:val="0"/>
          <w:sz w:val="24"/>
        </w:rPr>
        <w:t>Section 5.2 describes conditions for Final Payment. Alternate language for Section 5.2 that sets forth conditions that must be met in order for final payment to be made are in bold italics as follows:</w:t>
      </w:r>
    </w:p>
    <w:p>
      <w:pPr>
        <w:keepNext w:val="0"/>
        <w:spacing w:before="200" w:after="0" w:line="260" w:lineRule="exact"/>
        <w:ind w:left="400" w:right="0" w:firstLine="0"/>
        <w:jc w:val="both"/>
      </w:pPr>
      <w:r>
        <w:rPr>
          <w:rFonts w:ascii="Times New Roman" w:hAnsi="Times New Roman" w:eastAsia="Times New Roman" w:cs="Times New Roman"/>
          <w:b w:val="0"/>
          <w:sz w:val="24"/>
        </w:rPr>
        <w:t>§ 5.2 FINAL PAYMENT</w:t>
      </w:r>
    </w:p>
    <w:p>
      <w:pPr>
        <w:keepNext w:val="0"/>
        <w:spacing w:before="200" w:after="0" w:line="260" w:lineRule="exact"/>
        <w:ind w:left="400" w:right="0" w:firstLine="0"/>
        <w:jc w:val="both"/>
      </w:pPr>
      <w:r>
        <w:rPr>
          <w:rFonts w:ascii="Times New Roman" w:hAnsi="Times New Roman" w:eastAsia="Times New Roman" w:cs="Times New Roman"/>
          <w:b w:val="0"/>
          <w:sz w:val="24"/>
        </w:rPr>
        <w:t>§ 5.2.1 Final payment, constituting the entire unpaid balance of the Contract Sum, shall be made by the Owner to the Contractor when</w:t>
      </w:r>
    </w:p>
    <w:p>
      <w:pPr>
        <w:keepNext w:val="0"/>
        <w:spacing w:before="200" w:after="0" w:line="260" w:lineRule="exact"/>
        <w:ind w:left="400" w:right="0" w:firstLine="0"/>
        <w:jc w:val="both"/>
      </w:pPr>
      <w:r>
        <w:rPr>
          <w:rFonts w:ascii="Times New Roman" w:hAnsi="Times New Roman" w:eastAsia="Times New Roman" w:cs="Times New Roman"/>
          <w:b/>
          <w:sz w:val="24"/>
        </w:rPr>
        <w:t>.1</w:t>
        <w:tab/>
        <w:t>the Contractor has fully performed the Contract except for the Contractor’s responsibility to correct Work as provided in Section 12.2.2 of A201, and to satisfy other requirements, if any, which extend beyond final payment;</w:t>
      </w:r>
    </w:p>
    <w:p>
      <w:pPr>
        <w:keepNext w:val="0"/>
        <w:spacing w:before="200" w:after="0" w:line="260" w:lineRule="exact"/>
        <w:ind w:left="400" w:right="0" w:firstLine="0"/>
        <w:jc w:val="both"/>
      </w:pPr>
      <w:r>
        <w:rPr>
          <w:rFonts w:ascii="Times New Roman" w:hAnsi="Times New Roman" w:eastAsia="Times New Roman" w:cs="Times New Roman"/>
          <w:b/>
          <w:sz w:val="24"/>
        </w:rPr>
        <w:t>.2</w:t>
        <w:tab/>
        <w:t xml:space="preserve"> All final certificates of approval relating to the Work and the permanent certificate of occupancy, shall have been issued and delivered to the Owner;</w:t>
      </w:r>
    </w:p>
    <w:p>
      <w:pPr>
        <w:keepNext w:val="0"/>
        <w:spacing w:before="200" w:after="0" w:line="260" w:lineRule="exact"/>
        <w:ind w:left="400" w:right="0" w:firstLine="0"/>
        <w:jc w:val="both"/>
      </w:pPr>
      <w:r>
        <w:rPr>
          <w:rFonts w:ascii="Times New Roman" w:hAnsi="Times New Roman" w:eastAsia="Times New Roman" w:cs="Times New Roman"/>
          <w:b/>
          <w:sz w:val="24"/>
        </w:rPr>
        <w:t>.3</w:t>
        <w:tab/>
        <w:t xml:space="preserve">All required receipts, general releases, final waivers and releases of lien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form satisfactory to the Owner, affidavits, guarantees, warranty documents, As-Built Drawings, close out documents, operating manuals, and any other documents required under this Agreement or the Subcontracts shall have been issued and delivered to the Owner;</w:t>
      </w:r>
    </w:p>
    <w:p>
      <w:pPr>
        <w:keepNext w:val="0"/>
        <w:spacing w:before="200" w:after="0" w:line="260" w:lineRule="exact"/>
        <w:ind w:left="400" w:right="0" w:firstLine="0"/>
        <w:jc w:val="both"/>
      </w:pPr>
      <w:r>
        <w:rPr>
          <w:rFonts w:ascii="Times New Roman" w:hAnsi="Times New Roman" w:eastAsia="Times New Roman" w:cs="Times New Roman"/>
          <w:b/>
          <w:sz w:val="24"/>
        </w:rPr>
        <w:t>.4</w:t>
        <w:tab/>
        <w:t>All required signoffs including, but not limited to, those relating to any affirmative action requirements and sales taxes; and</w:t>
      </w:r>
    </w:p>
    <w:p>
      <w:pPr>
        <w:keepNext w:val="0"/>
        <w:spacing w:before="200" w:after="0" w:line="260" w:lineRule="exact"/>
        <w:ind w:left="400" w:right="0" w:firstLine="0"/>
        <w:jc w:val="both"/>
      </w:pPr>
      <w:r>
        <w:rPr>
          <w:rFonts w:ascii="Times New Roman" w:hAnsi="Times New Roman" w:eastAsia="Times New Roman" w:cs="Times New Roman"/>
          <w:b/>
          <w:sz w:val="24"/>
        </w:rPr>
        <w:t>.5</w:t>
        <w:tab/>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final Certificate for Payment has been issued by the Architect.</w:t>
      </w:r>
    </w:p>
    <w:p>
      <w:pPr>
        <w:keepNext w:val="0"/>
        <w:spacing w:before="200" w:after="0" w:line="260" w:lineRule="exact"/>
        <w:ind w:left="0" w:right="0" w:firstLine="0"/>
        <w:jc w:val="both"/>
      </w:pPr>
      <w:r>
        <w:rPr>
          <w:rFonts w:ascii="Times New Roman" w:hAnsi="Times New Roman" w:eastAsia="Times New Roman" w:cs="Times New Roman"/>
          <w:b w:val="0"/>
          <w:sz w:val="24"/>
        </w:rPr>
        <w:t>Again the parties should ensure that the applicable rules comply with the statutory provisions regarding final payment.</w:t>
      </w:r>
    </w:p>
    <w:p>
      <w:pPr>
        <w:keepNext w:val="0"/>
        <w:spacing w:before="200" w:after="0" w:line="260" w:lineRule="exact"/>
        <w:ind w:left="0" w:right="0" w:firstLine="0"/>
        <w:jc w:val="both"/>
      </w:pPr>
      <w:r>
        <w:rPr>
          <w:rFonts w:ascii="Times New Roman" w:hAnsi="Times New Roman" w:eastAsia="Times New Roman" w:cs="Times New Roman"/>
          <w:b/>
          <w:sz w:val="24"/>
        </w:rPr>
        <w:t>Article 6 — Dispute Resolution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Article 6 sets forth the dispute resolutions for the Agreement. Care must be exercised when editing this provision so that any changes to this provision are likewise reflected in the corresponding provision in Article 15 of A201. A201 identifies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known as the “Initial Decision Maker” who is also referenced in A101 and who acts as the individual to serve as the initial arbitrator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between the parties. Under A101, unless the parties specify otherwise, the Architect is the Initial Decision Maker. Many contractors object to the Architect being the Initial Decision Maker and insist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individual being named as the Initial Decision Maker or seek to remove the concept of the Initial Decision Maker from both A101 and A201. Article 6.2 allows the parties to select the method of dispute resolution to be arbitration in accordance with Section 15.4 of A201, litigation or other (to be specified)</w:t>
      </w:r>
    </w:p>
    <w:p>
      <w:pPr>
        <w:keepNext w:val="0"/>
        <w:spacing w:before="200" w:after="0" w:line="260" w:lineRule="exact"/>
        <w:ind w:left="0" w:right="0" w:firstLine="0"/>
        <w:jc w:val="both"/>
      </w:pPr>
      <w:r>
        <w:rPr>
          <w:rFonts w:ascii="Times New Roman" w:hAnsi="Times New Roman" w:eastAsia="Times New Roman" w:cs="Times New Roman"/>
          <w:b/>
          <w:sz w:val="24"/>
        </w:rPr>
        <w:t>Article 7 — Termination or Suspension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Article 7 of A101 references Article 14 in A201, which is the section in that document that addresses termination or suspension. Section 7.1.1 provides that if the Owner terminates for convenience the parties must stipulate what the termination fee must be if anything. The amount of the termination fee should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negotiated term. If the parties choose to edit these provisions, the parties should ensure is more efficient to leave this provision unchanged and edit A201 although care should be taken that any edits made in A201 are consistent with the language set forth in this Article.</w:t>
      </w:r>
    </w:p>
    <w:p>
      <w:pPr>
        <w:keepNext w:val="0"/>
        <w:spacing w:before="200" w:after="0" w:line="260" w:lineRule="exact"/>
        <w:ind w:left="0" w:right="0" w:firstLine="0"/>
        <w:jc w:val="both"/>
      </w:pPr>
      <w:r>
        <w:rPr>
          <w:rFonts w:ascii="Times New Roman" w:hAnsi="Times New Roman" w:eastAsia="Times New Roman" w:cs="Times New Roman"/>
          <w:b/>
          <w:sz w:val="24"/>
        </w:rPr>
        <w:t>Article 8 — Miscellaneous Provisions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Article 8 addresses issues regarding amendments or supplements to Contract Documents and the identity of the Owner’s and Contractor’s representative. These provisions are somewhat straightforward and not often edited. The provision also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on insurance and bonds. Many times parties include provisions regarding subcontractor default insurance in this section. The Article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section for “other provisions”.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excellent place for the parties to add additional provisions that relate specifically to the Project that they want included in the agreement. Many parties choose to add choice of law and choice of venue provisions here.</w:t>
      </w:r>
    </w:p>
    <w:p>
      <w:pPr>
        <w:keepNext w:val="0"/>
        <w:spacing w:before="200" w:after="0" w:line="260" w:lineRule="exact"/>
        <w:ind w:left="0" w:right="0" w:firstLine="0"/>
        <w:jc w:val="both"/>
      </w:pPr>
      <w:r>
        <w:rPr>
          <w:rFonts w:ascii="Times New Roman" w:hAnsi="Times New Roman" w:eastAsia="Times New Roman" w:cs="Times New Roman"/>
          <w:b/>
          <w:sz w:val="24"/>
        </w:rPr>
        <w:t>Article 9 — Enumeration of Contract Documents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documents that make up the Contract Documents are identified in Article 9 with specific references so that the date and draft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that is intended to be included in the Contract Documents is listed here. Drafters need to make sure that they have fully and accurately identified the title and author information that form the Contract Documents. Section 9.1.7 makes reference to AIA Document E201- 2007, Digital Data Protocol if completed by the parties. (See AIA® Document E203™ — 2013 (Building Information Modeling and Digital Data Exhibit, Sample Form).) If the Project will involve substantial use of electronic documents, the parties are advised to review this document with individuals who are versed in the electronic document protocols that relate to the software that is required to be used or that will be used on the Project.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drafting style, some contract drafters will shift Article 9 to Article 1 so that Contract Documents are identified in one place.</w:t>
      </w:r>
    </w:p>
    <w:p>
      <w:pPr>
        <w:keepNext w:val="0"/>
        <w:spacing w:before="200" w:after="0" w:line="260" w:lineRule="exact"/>
        <w:ind w:left="0" w:right="0" w:firstLine="0"/>
        <w:jc w:val="both"/>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 Insurance and Bonds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A101 addresses insurance and bonds in AIA® Document A101™ — 2017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(Insurance and Bonds, Sample Form). Note that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also intended for use with A201, A102-2017, Standard Form of Agreement Between Owner and Contractor where the basis of payment is the Cost of the Work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with Guaranteed Maximum Price; and A103-2017, Standard Form of Agreement Between Owner and Contractor where the basis of payment is the Cost of the Work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Maximum Price.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requires only that the parties specify the liability limits for commercial general liability insurance, automobile insurance, employer’s liability insurance, and where the work involves such risks, contractor’s professional liability insurance, pollution liability insurance, and insurance for marine liability/aircraft liability risks. All other information required by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optional and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guide for determining what other coverages may be appropriate and necessary for the parties. Additional insurance provisions requirements are set forth in A201.</w:t>
      </w:r>
    </w:p>
    <w:p>
      <w:pPr>
        <w:keepNext w:val="0"/>
        <w:spacing w:before="200" w:after="0" w:line="260" w:lineRule="exact"/>
        <w:ind w:left="0" w:right="0" w:firstLine="0"/>
        <w:jc w:val="both"/>
      </w:pPr>
      <w:r>
        <w:rPr>
          <w:rFonts w:ascii="Times New Roman" w:hAnsi="Times New Roman" w:eastAsia="Times New Roman" w:cs="Times New Roman"/>
          <w:b/>
          <w:sz w:val="24"/>
        </w:rPr>
        <w:t>Comparison Chart</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comparison of the Articles where specific topics are addressed in A101 and A201 is shown in the below chart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