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Drafting Guidance to AIA® Document A312™ (2010 Payment Bond)</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by Stephen Del Percio, URS Corporation</w:t>
      </w:r>
    </w:p>
    <w:p>
      <w:pPr>
        <w:keepNext w:val="0"/>
        <w:spacing w:before="200" w:after="0" w:line="260" w:lineRule="exact"/>
        <w:ind w:left="0" w:right="0" w:firstLine="0"/>
        <w:jc w:val="both"/>
      </w:pPr>
      <w:r>
        <w:rPr>
          <w:rFonts w:ascii="Times New Roman" w:hAnsi="Times New Roman" w:eastAsia="Times New Roman" w:cs="Times New Roman"/>
          <w:b/>
          <w:sz w:val="24"/>
        </w:rPr>
        <w:t>This guidance includes Drafting Notes and Alternate Provisions to the AIA® Document A312™ - 2010 Payment Bond.</w:t>
      </w:r>
    </w:p>
    <w:p>
      <w:pPr>
        <w:keepNext w:val="0"/>
        <w:spacing w:before="200" w:after="0" w:line="260" w:lineRule="exact"/>
        <w:ind w:left="0" w:right="0" w:firstLine="0"/>
        <w:jc w:val="both"/>
      </w:pPr>
      <w:r>
        <w:rPr>
          <w:rFonts w:ascii="Times New Roman" w:hAnsi="Times New Roman" w:eastAsia="Times New Roman" w:cs="Times New Roman"/>
          <w:b/>
          <w:sz w:val="24"/>
        </w:rPr>
        <w:t>Sections 1 and 2</w:t>
      </w:r>
    </w:p>
    <w:p>
      <w:pPr>
        <w:keepNext w:val="0"/>
        <w:spacing w:before="200" w:after="0" w:line="260" w:lineRule="exact"/>
        <w:ind w:left="0" w:right="0" w:firstLine="0"/>
        <w:jc w:val="both"/>
      </w:pPr>
      <w:r>
        <w:rPr>
          <w:rFonts w:ascii="Times New Roman" w:hAnsi="Times New Roman" w:eastAsia="Times New Roman" w:cs="Times New Roman"/>
          <w:b w:val="0"/>
          <w:sz w:val="24"/>
        </w:rPr>
        <w:t>The AIA® Document A312™-2010 (the “</w:t>
      </w:r>
      <w:r>
        <w:rPr>
          <w:rFonts w:ascii="Times New Roman" w:hAnsi="Times New Roman" w:eastAsia="Times New Roman" w:cs="Times New Roman"/>
          <w:b w:val="0"/>
          <w:sz w:val="24"/>
        </w:rPr>
        <w:t>A312</w:t>
      </w:r>
      <w:r>
        <w:rPr>
          <w:rFonts w:ascii="Times New Roman" w:hAnsi="Times New Roman" w:eastAsia="Times New Roman" w:cs="Times New Roman"/>
          <w:b w:val="0"/>
          <w:sz w:val="24"/>
        </w:rPr>
        <w:t xml:space="preserve">”) version of the A312™ Payment Bond sets forth the Surety’s obligations under the Payment Bond in Sections 1 and 2 thereof.  So long as the Contractor makes prompt payment to its subcontractors and suppliers and defends, indemnifies, and holds the Owner harmless from any claims asserted by those parties, then the Surety and the Contractor will not have any obligations under the Payment Bond to make other parties whole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w:t>
      </w:r>
    </w:p>
    <w:p>
      <w:pPr>
        <w:keepNext w:val="0"/>
        <w:spacing w:before="200" w:after="0" w:line="260" w:lineRule="exact"/>
        <w:ind w:left="0" w:right="0" w:firstLine="0"/>
        <w:jc w:val="both"/>
      </w:pPr>
      <w:r>
        <w:rPr>
          <w:rFonts w:ascii="Times New Roman" w:hAnsi="Times New Roman" w:eastAsia="Times New Roman" w:cs="Times New Roman"/>
          <w:b/>
          <w:sz w:val="24"/>
        </w:rPr>
        <w:t>Section 3</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Provided the Owner has not defaulted under the Construction Contract, the Surety’s obligation to the Owner under the A312 arises once the Owner promptly informs the Surety of any claims or demands for payment that it has received, as is further described in Section 3 of the A312.  This obligation extends to all claims against the Owner and its property by any person or entity seeking payment.  In other words, even if the Contractor has valid defenses against the Claimant, it is not the Owner’s concern, and the Contractor and the Surety bear the risk of providing the Owner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in this context.</w:t>
      </w:r>
    </w:p>
    <w:p>
      <w:pPr>
        <w:keepNext w:val="0"/>
        <w:spacing w:before="200" w:after="0" w:line="260" w:lineRule="exact"/>
        <w:ind w:left="0" w:right="0" w:firstLine="0"/>
        <w:jc w:val="both"/>
      </w:pPr>
      <w:r>
        <w:rPr>
          <w:rFonts w:ascii="Times New Roman" w:hAnsi="Times New Roman" w:eastAsia="Times New Roman" w:cs="Times New Roman"/>
          <w:b/>
          <w:sz w:val="24"/>
        </w:rPr>
        <w:t>Section 7</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provision sets forth the actions the Surety must take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Claimant has satisfied the requirements of Sections 5.1 and 5.2.  These obligations include sending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the Claimant,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the Owner, within sixty (60) days of receipt of the Claim.  Depending on the size, nature, and technical complexity of the underlying construction project, the Surety may wish to try to negotiate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longer time period within which it must send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enable the Surety to more robustly evaluate claims.  Regardless, the Surety’s response must include any amounts disputed and the basis for challenging those amounts.  It is also important to note that this provision expressly states that if the Surety fails to comply with the requirements of Section 7 (related to notice and payment of undisputed amounts), it does not waive its rights under the Payment Bond.  However, in the event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this provision does entitle the Claimant to attorneys’ fees that it may incur in attempting to recover any sums found due and owing to it.</w:t>
      </w:r>
    </w:p>
    <w:p>
      <w:pPr>
        <w:keepNext w:val="0"/>
        <w:spacing w:before="200" w:after="0" w:line="260" w:lineRule="exact"/>
        <w:ind w:left="0" w:right="0" w:firstLine="0"/>
        <w:jc w:val="both"/>
      </w:pPr>
      <w:r>
        <w:rPr>
          <w:rFonts w:ascii="Times New Roman" w:hAnsi="Times New Roman" w:eastAsia="Times New Roman" w:cs="Times New Roman"/>
          <w:b/>
          <w:sz w:val="24"/>
        </w:rPr>
        <w:t>Section 12</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provision cuts off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Claimant’s ability to file suit under the Payment Bond at the expiration of one (1) year from the earlier of (i) the date notice of the Claim was sent to the Surety pursuant to Section 5 or (ii) the date the last labor, service, material, or equipment was furnished under the Construction Contract.  The Surety may attempt to revise this provision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shorter window in which the Claimant can file suit under the Payment Bond.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