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Drafting Guidance to AIA® Document A312™ (2010 Performance Bond)</w:t>
      </w:r>
    </w:p>
    <w:p>
      <w:pPr>
        <w:keepNext w:val="0"/>
        <w:spacing w:after="0" w:line="240" w:lineRule="exact"/>
        <w:ind w:right="0"/>
        <w:jc w:val="both"/>
      </w:pPr>
    </w:p>
    <w:p>
      <w:pPr>
        <w:keepNext w:val="0"/>
        <w:spacing w:before="200" w:after="0" w:line="260" w:lineRule="exact"/>
        <w:ind w:left="0" w:right="0" w:firstLine="0"/>
        <w:jc w:val="both"/>
      </w:pPr>
      <w:r>
        <w:rPr>
          <w:rFonts w:ascii="Times New Roman" w:hAnsi="Times New Roman" w:eastAsia="Times New Roman" w:cs="Times New Roman"/>
          <w:b w:val="0"/>
          <w:sz w:val="24"/>
        </w:rPr>
        <w:t>by Stephen Del Percio, URS Corporation</w:t>
      </w:r>
    </w:p>
    <w:p>
      <w:pPr>
        <w:keepNext w:val="0"/>
        <w:spacing w:before="200" w:after="0" w:line="260" w:lineRule="exact"/>
        <w:ind w:left="0" w:right="0" w:firstLine="0"/>
        <w:jc w:val="both"/>
      </w:pPr>
      <w:r>
        <w:rPr>
          <w:rFonts w:ascii="Times New Roman" w:hAnsi="Times New Roman" w:eastAsia="Times New Roman" w:cs="Times New Roman"/>
          <w:b/>
          <w:sz w:val="24"/>
        </w:rPr>
        <w:t>This guidance includes Drafting Notes and Alternate Provisions to the AIA® Document A312™ - 2010 Performance Bond.</w:t>
      </w:r>
    </w:p>
    <w:p>
      <w:pPr>
        <w:keepNext w:val="0"/>
        <w:spacing w:before="200" w:after="0" w:line="260" w:lineRule="exact"/>
        <w:ind w:left="0" w:right="0" w:firstLine="0"/>
        <w:jc w:val="both"/>
      </w:pPr>
      <w:r>
        <w:rPr>
          <w:rFonts w:ascii="Times New Roman" w:hAnsi="Times New Roman" w:eastAsia="Times New Roman" w:cs="Times New Roman"/>
          <w:b/>
          <w:sz w:val="24"/>
        </w:rPr>
        <w:t>Sections 1 and 2</w:t>
      </w:r>
    </w:p>
    <w:p>
      <w:pPr>
        <w:keepNext w:val="0"/>
        <w:spacing w:before="200" w:after="0" w:line="260" w:lineRule="exact"/>
        <w:ind w:left="0" w:right="0" w:firstLine="0"/>
        <w:jc w:val="both"/>
      </w:pPr>
      <w:r>
        <w:rPr>
          <w:rFonts w:ascii="Times New Roman" w:hAnsi="Times New Roman" w:eastAsia="Times New Roman" w:cs="Times New Roman"/>
          <w:b w:val="0"/>
          <w:sz w:val="24"/>
        </w:rPr>
        <w:t>The AIA® Document A312™-2010 (the “</w:t>
      </w:r>
      <w:r>
        <w:rPr>
          <w:rFonts w:ascii="Times New Roman" w:hAnsi="Times New Roman" w:eastAsia="Times New Roman" w:cs="Times New Roman"/>
          <w:b w:val="0"/>
          <w:sz w:val="24"/>
        </w:rPr>
        <w:t>A312</w:t>
      </w:r>
      <w:r>
        <w:rPr>
          <w:rFonts w:ascii="Times New Roman" w:hAnsi="Times New Roman" w:eastAsia="Times New Roman" w:cs="Times New Roman"/>
          <w:b w:val="0"/>
          <w:sz w:val="24"/>
        </w:rPr>
        <w:t>”) sets forth the Surety’s obligations under the Performance Bond in Sections 1 and 2 thereof.  So long as the Contractor performs its obligations set forth in the underlying Construction Contract (which is incorporated into the Performance Bond by reference), then Section 2 makes it clear that the Surety has no obligations under the Performance Bond, other than those that may be set forth in Section 3.1 related to the conference described in that provision.</w:t>
      </w:r>
    </w:p>
    <w:p>
      <w:pPr>
        <w:keepNext w:val="0"/>
        <w:spacing w:before="200" w:after="0" w:line="260" w:lineRule="exact"/>
        <w:ind w:left="0" w:right="0" w:firstLine="0"/>
        <w:jc w:val="both"/>
      </w:pPr>
      <w:r>
        <w:rPr>
          <w:rFonts w:ascii="Times New Roman" w:hAnsi="Times New Roman" w:eastAsia="Times New Roman" w:cs="Times New Roman"/>
          <w:b/>
          <w:sz w:val="24"/>
        </w:rPr>
        <w:t>Section 3.1</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In the event that the Contractor does not perform its obligations as required by the underlying Construction Contract, the Surety’s obligation under the Performance Bond will still not arise until all of the requirements of Section 3.1 are satisfied by the Obligor (i.e., the Owner).  However, in order to expedite the Surety’s obligations in the event the Owner is considering declaring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Contractor Default, the Owner may attempt to remove the Surety’s ability to request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conference on five business days’ notice.  Under Section 3.1, once the Surety makes this request, the Owner is obligated to participate in the conference.  Furthermore, Section 3.1 allows the Contractor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period of time to perform the Construction Contract if the Owner, Surety, and Contractor consent to such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extension.  During negotiations, the Owner may attempt to delete this provision, or provide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more concrete period of time (e.g., 5 or 10 days) for the Contractor’s time to cure.</w:t>
      </w:r>
    </w:p>
    <w:p>
      <w:pPr>
        <w:keepNext w:val="0"/>
        <w:spacing w:before="200" w:after="0" w:line="260" w:lineRule="exact"/>
        <w:ind w:left="0" w:right="0" w:firstLine="0"/>
        <w:jc w:val="both"/>
      </w:pPr>
      <w:r>
        <w:rPr>
          <w:rFonts w:ascii="Times New Roman" w:hAnsi="Times New Roman" w:eastAsia="Times New Roman" w:cs="Times New Roman"/>
          <w:b/>
          <w:sz w:val="24"/>
        </w:rPr>
        <w:t>Section 4</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Notwithstanding the notice requirements set forth throughout Section 3, Section 4 states that the Surety’s obligations are not released in the event that the Owner fails to comply with those notice requirements, except to the extent that the Surety can demonstrate its rights were actually prejudiced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late notice.</w:t>
      </w:r>
    </w:p>
    <w:p>
      <w:pPr>
        <w:keepNext w:val="0"/>
        <w:spacing w:before="200" w:after="0" w:line="260" w:lineRule="exact"/>
        <w:ind w:left="0" w:right="0" w:firstLine="0"/>
        <w:jc w:val="both"/>
      </w:pPr>
      <w:r>
        <w:rPr>
          <w:rFonts w:ascii="Times New Roman" w:hAnsi="Times New Roman" w:eastAsia="Times New Roman" w:cs="Times New Roman"/>
          <w:b/>
          <w:sz w:val="24"/>
        </w:rPr>
        <w:t>Section 5.4</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This section sets forth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menu of options available to the Surety in the event the Contractor is in default and the Owner satisfies the requirements of Section 3.  Under Section 5.4, the Surety has the right to investigate the circumstances underpinning the default and, among other rights, deny liability in whole or in part to the Owner, provided it cites its reasons for that denial.  The Surety’s path forward under Section 5 is highly fact-and-case specific and must be assessed in light of the rights and remedies available to the Surety in the underlying bonded Construction Contract and in the A312 agreement itself.</w:t>
      </w:r>
    </w:p>
    <w:p>
      <w:pPr>
        <w:keepNext w:val="0"/>
        <w:spacing w:before="200" w:after="0" w:line="260" w:lineRule="exact"/>
        <w:ind w:left="0" w:right="0" w:firstLine="0"/>
        <w:jc w:val="both"/>
      </w:pPr>
      <w:r>
        <w:rPr>
          <w:rFonts w:ascii="Times New Roman" w:hAnsi="Times New Roman" w:eastAsia="Times New Roman" w:cs="Times New Roman"/>
          <w:b/>
          <w:sz w:val="24"/>
        </w:rPr>
        <w:t>Section 7.2</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This section is perhaps the bond’s most important provision.  Should the Surety choose to act as set forth in Sections 5.1 through 5.3, Section 7 describes the Surety’s obligations to the Owner under the Performance Bond (provided the Owner agrees to pay the balance of the Contract Price).  It is critical for the Surety to note that Section 7.2 obligates it for “additional legal, design professional, and delay costs” resulting from the Contractor Default.  The scope of what those “delay costs” include – such as direct, indirect, or consequential damages – may not always be clear.  Accordingly, Owners can expect the Surety to push back on this language in the A312, particularly if the underlying bonded Construction Contract contains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mutual waiver of consequential damages (as is standard in all of the AIA series of documents).  The interplay of the Surety’s exposure under the bonded Construction Contract and the A312 Performance Bond should be carefully considered by the Surety as it analyzes its performance options under Section 5. </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