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Dress Code and Grooming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 This policy does not intend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gender-based prohibition on wearing pants.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This list is not intended to be all-inclusive, and the Company may prohibit other items that it determines to be inappropriate in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Religious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[Company representative’s name].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[Company representative’s name].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Dress Code and Grooming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60" w:after="0" w:line="260" w:lineRule="exact"/>
        <w:ind w:left="720" w:right="0" w:firstLine="0"/>
        <w:jc w:val="both"/>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