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Due Diligence Questionnaire 2.0 and Diversity Metrics Template (ILPA Model Form)</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limited partner due diligence questionnaire (DDQ)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extensive and detailed document meant to respond to most potential questions prospective investors may have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private fund investment and the fund's management team.</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typical limited partner DDQ covers many topics related to fund diligence, including:</w:t>
      </w:r>
    </w:p>
    <w:p>
      <w:pPr>
        <w:keepNext w:val="0"/>
        <w:spacing w:before="120" w:after="0" w:line="260" w:lineRule="exact"/>
        <w:ind w:right="0"/>
        <w:jc w:val="both"/>
      </w:pPr>
      <w:r>
        <w:rPr>
          <w:rFonts w:ascii="Times New Roman" w:hAnsi="Times New Roman" w:eastAsia="Times New Roman" w:cs="Times New Roman"/>
          <w:b w:val="0"/>
          <w:sz w:val="24"/>
        </w:rPr>
        <w:t>General information about the management team</w:t>
      </w:r>
    </w:p>
    <w:p>
      <w:pPr>
        <w:keepNext w:val="0"/>
        <w:spacing w:before="120" w:after="0" w:line="260" w:lineRule="exact"/>
        <w:ind w:right="0"/>
        <w:jc w:val="both"/>
      </w:pPr>
      <w:r>
        <w:rPr>
          <w:rFonts w:ascii="Times New Roman" w:hAnsi="Times New Roman" w:eastAsia="Times New Roman" w:cs="Times New Roman"/>
          <w:b w:val="0"/>
          <w:sz w:val="24"/>
        </w:rPr>
        <w:t>General information about the fund</w:t>
      </w:r>
    </w:p>
    <w:p>
      <w:pPr>
        <w:keepNext w:val="0"/>
        <w:spacing w:before="120" w:after="0" w:line="260" w:lineRule="exact"/>
        <w:ind w:right="0"/>
        <w:jc w:val="both"/>
      </w:pPr>
      <w:r>
        <w:rPr>
          <w:rFonts w:ascii="Times New Roman" w:hAnsi="Times New Roman" w:eastAsia="Times New Roman" w:cs="Times New Roman"/>
          <w:b w:val="0"/>
          <w:sz w:val="24"/>
        </w:rPr>
        <w:t>Succession planning and key persons</w:t>
      </w:r>
    </w:p>
    <w:p>
      <w:pPr>
        <w:keepNext w:val="0"/>
        <w:spacing w:before="120" w:after="0" w:line="260" w:lineRule="exact"/>
        <w:ind w:right="0"/>
        <w:jc w:val="both"/>
      </w:pPr>
      <w:r>
        <w:rPr>
          <w:rFonts w:ascii="Times New Roman" w:hAnsi="Times New Roman" w:eastAsia="Times New Roman" w:cs="Times New Roman"/>
          <w:b w:val="0"/>
          <w:sz w:val="24"/>
        </w:rPr>
        <w:t>Investment strategy</w:t>
      </w:r>
    </w:p>
    <w:p>
      <w:pPr>
        <w:keepNext w:val="0"/>
        <w:spacing w:before="120" w:after="0" w:line="260" w:lineRule="exact"/>
        <w:ind w:right="0"/>
        <w:jc w:val="both"/>
      </w:pPr>
      <w:r>
        <w:rPr>
          <w:rFonts w:ascii="Times New Roman" w:hAnsi="Times New Roman" w:eastAsia="Times New Roman" w:cs="Times New Roman"/>
          <w:b w:val="0"/>
          <w:sz w:val="24"/>
        </w:rPr>
        <w:t>Co-Investments</w:t>
      </w:r>
    </w:p>
    <w:p>
      <w:pPr>
        <w:keepNext w:val="0"/>
        <w:spacing w:before="120" w:after="0" w:line="260" w:lineRule="exact"/>
        <w:ind w:right="0"/>
        <w:jc w:val="both"/>
      </w:pPr>
      <w:r>
        <w:rPr>
          <w:rFonts w:ascii="Times New Roman" w:hAnsi="Times New Roman" w:eastAsia="Times New Roman" w:cs="Times New Roman"/>
          <w:b w:val="0"/>
          <w:sz w:val="24"/>
        </w:rPr>
        <w:t>GP-led secondaries and continuation funds</w:t>
      </w:r>
    </w:p>
    <w:p>
      <w:pPr>
        <w:keepNext w:val="0"/>
        <w:spacing w:before="120" w:after="0" w:line="260" w:lineRule="exact"/>
        <w:ind w:right="0"/>
        <w:jc w:val="both"/>
      </w:pPr>
      <w:r>
        <w:rPr>
          <w:rFonts w:ascii="Times New Roman" w:hAnsi="Times New Roman" w:eastAsia="Times New Roman" w:cs="Times New Roman"/>
          <w:b w:val="0"/>
          <w:sz w:val="24"/>
        </w:rPr>
        <w:t>Credit Facilities</w:t>
      </w:r>
    </w:p>
    <w:p>
      <w:pPr>
        <w:keepNext w:val="0"/>
        <w:spacing w:before="120" w:after="0" w:line="260" w:lineRule="exact"/>
        <w:ind w:right="0"/>
        <w:jc w:val="both"/>
      </w:pPr>
      <w:r>
        <w:rPr>
          <w:rFonts w:ascii="Times New Roman" w:hAnsi="Times New Roman" w:eastAsia="Times New Roman" w:cs="Times New Roman"/>
          <w:b w:val="0"/>
          <w:sz w:val="24"/>
        </w:rPr>
        <w:t>Investment process</w:t>
      </w:r>
    </w:p>
    <w:p>
      <w:pPr>
        <w:keepNext w:val="0"/>
        <w:spacing w:before="120" w:after="0" w:line="260" w:lineRule="exact"/>
        <w:ind w:right="0"/>
        <w:jc w:val="both"/>
      </w:pPr>
      <w:r>
        <w:rPr>
          <w:rFonts w:ascii="Times New Roman" w:hAnsi="Times New Roman" w:eastAsia="Times New Roman" w:cs="Times New Roman"/>
          <w:b w:val="0"/>
          <w:sz w:val="24"/>
        </w:rPr>
        <w:t>Team</w:t>
      </w:r>
    </w:p>
    <w:p>
      <w:pPr>
        <w:keepNext w:val="0"/>
        <w:spacing w:before="120" w:after="0" w:line="260" w:lineRule="exact"/>
        <w:ind w:right="0"/>
        <w:jc w:val="both"/>
      </w:pPr>
      <w:r>
        <w:rPr>
          <w:rFonts w:ascii="Times New Roman" w:hAnsi="Times New Roman" w:eastAsia="Times New Roman" w:cs="Times New Roman"/>
          <w:b w:val="0"/>
          <w:sz w:val="24"/>
        </w:rPr>
        <w:t>Alignment of interests</w:t>
      </w:r>
    </w:p>
    <w:p>
      <w:pPr>
        <w:keepNext w:val="0"/>
        <w:spacing w:before="120" w:after="0" w:line="260" w:lineRule="exact"/>
        <w:ind w:right="0"/>
        <w:jc w:val="both"/>
      </w:pPr>
      <w:r>
        <w:rPr>
          <w:rFonts w:ascii="Times New Roman" w:hAnsi="Times New Roman" w:eastAsia="Times New Roman" w:cs="Times New Roman"/>
          <w:b w:val="0"/>
          <w:sz w:val="24"/>
        </w:rPr>
        <w:t>Market environment</w:t>
      </w:r>
    </w:p>
    <w:p>
      <w:pPr>
        <w:keepNext w:val="0"/>
        <w:spacing w:before="120" w:after="0" w:line="260" w:lineRule="exact"/>
        <w:ind w:right="0"/>
        <w:jc w:val="both"/>
      </w:pPr>
      <w:r>
        <w:rPr>
          <w:rFonts w:ascii="Times New Roman" w:hAnsi="Times New Roman" w:eastAsia="Times New Roman" w:cs="Times New Roman"/>
          <w:b w:val="0"/>
          <w:sz w:val="24"/>
        </w:rPr>
        <w:t>Fund terms</w:t>
      </w:r>
    </w:p>
    <w:p>
      <w:pPr>
        <w:keepNext w:val="0"/>
        <w:spacing w:before="120" w:after="0" w:line="260" w:lineRule="exact"/>
        <w:ind w:right="0"/>
        <w:jc w:val="both"/>
      </w:pPr>
      <w:r>
        <w:rPr>
          <w:rFonts w:ascii="Times New Roman" w:hAnsi="Times New Roman" w:eastAsia="Times New Roman" w:cs="Times New Roman"/>
          <w:b w:val="0"/>
          <w:sz w:val="24"/>
        </w:rPr>
        <w:t>Firm governance, risk, and compliance</w:t>
      </w:r>
    </w:p>
    <w:p>
      <w:pPr>
        <w:keepNext w:val="0"/>
        <w:spacing w:before="120" w:after="0" w:line="260" w:lineRule="exact"/>
        <w:ind w:right="0"/>
        <w:jc w:val="both"/>
      </w:pPr>
      <w:r>
        <w:rPr>
          <w:rFonts w:ascii="Times New Roman" w:hAnsi="Times New Roman" w:eastAsia="Times New Roman" w:cs="Times New Roman"/>
          <w:b w:val="0"/>
          <w:sz w:val="24"/>
        </w:rPr>
        <w:t>Track record</w:t>
      </w:r>
    </w:p>
    <w:p>
      <w:pPr>
        <w:keepNext w:val="0"/>
        <w:spacing w:before="120" w:after="0" w:line="260" w:lineRule="exact"/>
        <w:ind w:right="0"/>
        <w:jc w:val="both"/>
      </w:pPr>
      <w:r>
        <w:rPr>
          <w:rFonts w:ascii="Times New Roman" w:hAnsi="Times New Roman" w:eastAsia="Times New Roman" w:cs="Times New Roman"/>
          <w:b w:val="0"/>
          <w:sz w:val="24"/>
        </w:rPr>
        <w:t>Accounting and valuation</w:t>
      </w:r>
    </w:p>
    <w:p>
      <w:pPr>
        <w:keepNext w:val="0"/>
        <w:spacing w:before="120" w:after="0" w:line="260" w:lineRule="exact"/>
        <w:ind w:right="0"/>
        <w:jc w:val="both"/>
      </w:pPr>
      <w:r>
        <w:rPr>
          <w:rFonts w:ascii="Times New Roman" w:hAnsi="Times New Roman" w:eastAsia="Times New Roman" w:cs="Times New Roman"/>
          <w:b w:val="0"/>
          <w:sz w:val="24"/>
        </w:rPr>
        <w:t>Reporting</w:t>
      </w:r>
    </w:p>
    <w:p>
      <w:pPr>
        <w:keepNext w:val="0"/>
        <w:spacing w:before="120" w:after="0" w:line="260" w:lineRule="exact"/>
        <w:ind w:right="0"/>
        <w:jc w:val="both"/>
      </w:pPr>
      <w:r>
        <w:rPr>
          <w:rFonts w:ascii="Times New Roman" w:hAnsi="Times New Roman" w:eastAsia="Times New Roman" w:cs="Times New Roman"/>
          <w:b w:val="0"/>
          <w:sz w:val="24"/>
        </w:rPr>
        <w:t>Legal</w:t>
      </w:r>
    </w:p>
    <w:p>
      <w:pPr>
        <w:keepNext w:val="0"/>
        <w:spacing w:before="120" w:after="0" w:line="260" w:lineRule="exact"/>
        <w:ind w:right="0"/>
        <w:jc w:val="both"/>
      </w:pPr>
      <w:r>
        <w:rPr>
          <w:rFonts w:ascii="Times New Roman" w:hAnsi="Times New Roman" w:eastAsia="Times New Roman" w:cs="Times New Roman"/>
          <w:b w:val="0"/>
          <w:sz w:val="24"/>
        </w:rPr>
        <w:t>Data security, technology and third parties</w:t>
      </w:r>
    </w:p>
    <w:p>
      <w:pPr>
        <w:keepNext w:val="0"/>
        <w:spacing w:before="120" w:after="0" w:line="260" w:lineRule="exact"/>
        <w:ind w:right="0"/>
        <w:jc w:val="both"/>
      </w:pPr>
      <w:r>
        <w:rPr>
          <w:rFonts w:ascii="Times New Roman" w:hAnsi="Times New Roman" w:eastAsia="Times New Roman" w:cs="Times New Roman"/>
          <w:b w:val="0"/>
          <w:sz w:val="24"/>
        </w:rPr>
        <w:t>ESG</w:t>
      </w:r>
    </w:p>
    <w:p>
      <w:pPr>
        <w:keepNext w:val="0"/>
        <w:spacing w:before="120" w:after="0" w:line="260" w:lineRule="exact"/>
        <w:ind w:right="0"/>
        <w:jc w:val="both"/>
      </w:pPr>
      <w:r>
        <w:rPr>
          <w:rFonts w:ascii="Times New Roman" w:hAnsi="Times New Roman" w:eastAsia="Times New Roman" w:cs="Times New Roman"/>
          <w:b w:val="0"/>
          <w:sz w:val="24"/>
        </w:rPr>
        <w:t>Diversity, equity and inclusion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institutional investors increase their focus on issues related to alignment of interest, governance and transparency with their private equity manager relationships, the level of detail required for their upfront fund diligence process has increased. This increase has resulted in the proliferation of lengthy, customized due diligence questionnaires by many limited partners, general partners, advisors, consultants, placement agents and other industry bodies. These customized DDQs, which have varying content and length, have created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extraordinary administrative burden on all interested parties, including LPs, GPs and placement agents. While differences may exist in the format and particular questions, the customized DDQs are often similar in core areas, but still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outsized level of effort to complete relative to the differences.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search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efficient process and to improve information asymmetry prompted the Institutional Limited Partnership Association (ILPA) to reach out to GPs, LPs, placement agents and other interested parties to craft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DDQ tool capable of recognizing these benefits for the industry. With adoption of the ILPA DDQ, the outsized resources used to create and process the customized, but often redundant, questions and responses could then be repurposed toward additional transparency, assessment and analysis of results.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Updates to the ILPA DDQ are made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keen eye towards addressing the emerging areas of inquiry undertaken by LPs in their diligence processes and to ensure that the DDQ aligns with ILPA guidance released over the last several years. Given continued industry focus on Environmental, Social and Corporate Governance (ESG) and Diversity, Equity and Inclusion (DEI), ILPA has adapted the DDQ to reflect these changes as follows:</w:t>
      </w:r>
    </w:p>
    <w:p>
      <w:pPr>
        <w:keepNext w:val="0"/>
        <w:spacing w:before="200" w:after="0" w:line="260" w:lineRule="exact"/>
        <w:ind w:left="0" w:right="0" w:firstLine="0"/>
        <w:jc w:val="both"/>
      </w:pPr>
      <w:r>
        <w:rPr>
          <w:rFonts w:ascii="Times New Roman" w:hAnsi="Times New Roman" w:eastAsia="Times New Roman" w:cs="Times New Roman"/>
          <w:b/>
          <w:sz w:val="24"/>
        </w:rPr>
        <w:t>ESG:</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updated ESG section in the ILPA DDQ 2.0 draws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version of the PRI Limited Partners Private Equity Responsible Investment DDQ. The synchronization of the ILPA and PRI questionnaires offers opportunities for efficiency and standardization.</w:t>
      </w:r>
    </w:p>
    <w:p>
      <w:pPr>
        <w:keepNext w:val="0"/>
        <w:spacing w:before="200" w:after="0" w:line="260" w:lineRule="exact"/>
        <w:ind w:left="0" w:right="0" w:firstLine="0"/>
        <w:jc w:val="both"/>
      </w:pPr>
      <w:r>
        <w:rPr>
          <w:rFonts w:ascii="Times New Roman" w:hAnsi="Times New Roman" w:eastAsia="Times New Roman" w:cs="Times New Roman"/>
          <w:b/>
          <w:sz w:val="24"/>
        </w:rPr>
        <w:t>DEI: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updated DEI section within the ILPA DDQ 2.0 includes several enhancements that align with prevalent areas of LP inquiry specific to DEI. Similarly, the developments to the ILPA Diversity Metrics Template reflect information sought by LPs, as well as information increasingly requested by LPs of GPs, informed by signatories to the </w:t>
      </w:r>
      <w:r>
        <w:rPr>
          <w:rFonts w:ascii="Times New Roman" w:hAnsi="Times New Roman" w:eastAsia="Times New Roman" w:cs="Times New Roman"/>
          <w:b/>
          <w:sz w:val="24"/>
        </w:rPr>
        <w:t>Diversity in Action initiative</w:t>
      </w:r>
      <w:r>
        <w:rPr>
          <w:rFonts w:ascii="Times New Roman" w:hAnsi="Times New Roman" w:eastAsia="Times New Roman" w:cs="Times New Roman"/>
          <w:b w:val="0"/>
          <w:sz w:val="24"/>
        </w:rPr>
        <w:t xml:space="preserve">, validated through multiple working groups and round tables focused on diversity metrics and aligned with ILPA's recently released </w:t>
      </w:r>
      <w:r>
        <w:rPr>
          <w:rFonts w:ascii="Times New Roman" w:hAnsi="Times New Roman" w:eastAsia="Times New Roman" w:cs="Times New Roman"/>
          <w:b/>
          <w:sz w:val="24"/>
        </w:rPr>
        <w:t>ESG Assessment Framework</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ILPA Diversity Metrics Template seeks to improve upon the initial version released in 2018. The updated version features several notable enhancements, including more globally relevant designations for race and ethnicity, more inclusive information on gender/diversity by adding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nonbinary designation and additional diversity designations, simplified structure for role designations across ownership and professionals, insight into staff movement and select portfolio company-level data.</w:t>
      </w:r>
    </w:p>
    <w:p>
      <w:pPr>
        <w:keepNext w:val="0"/>
        <w:spacing w:before="200" w:after="0" w:line="260" w:lineRule="exact"/>
        <w:ind w:left="0" w:right="0" w:firstLine="0"/>
        <w:jc w:val="both"/>
      </w:pPr>
      <w:r>
        <w:rPr>
          <w:rFonts w:ascii="Times New Roman" w:hAnsi="Times New Roman" w:eastAsia="Times New Roman" w:cs="Times New Roman"/>
          <w:b w:val="0"/>
          <w:sz w:val="24"/>
        </w:rPr>
        <w:t>For additional context on the private fund investment process, see the practice notes Private Equity Fund Launch Considerations and Investor's Counsel Conducting the Private Equity Fund Review.</w:t>
      </w:r>
    </w:p>
    <w:p>
      <w:pPr>
        <w:keepNext w:val="0"/>
        <w:spacing w:before="200" w:after="0" w:line="260" w:lineRule="exact"/>
        <w:ind w:left="0" w:right="0" w:firstLine="0"/>
        <w:jc w:val="both"/>
      </w:pPr>
      <w:r>
        <w:rPr>
          <w:rFonts w:ascii="Times New Roman" w:hAnsi="Times New Roman" w:eastAsia="Times New Roman" w:cs="Times New Roman"/>
          <w:b w:val="0"/>
          <w:sz w:val="24"/>
        </w:rPr>
        <w:t>Click here for the official ILPA model form in Adobe PDF format.</w:t>
      </w:r>
    </w:p>
    <w:p>
      <w:pPr>
        <w:keepNext w:val="0"/>
        <w:spacing w:before="200" w:after="0" w:line="260" w:lineRule="exact"/>
        <w:ind w:left="0" w:right="0" w:firstLine="0"/>
        <w:jc w:val="both"/>
      </w:pPr>
      <w:r>
        <w:rPr>
          <w:rFonts w:ascii="Times New Roman" w:hAnsi="Times New Roman" w:eastAsia="Times New Roman" w:cs="Times New Roman"/>
          <w:b w:val="0"/>
          <w:sz w:val="24"/>
        </w:rPr>
        <w:t>Click here for the official ILPA model form in MS Word format.</w:t>
      </w:r>
    </w:p>
    <w:p>
      <w:pPr>
        <w:keepNext w:val="0"/>
        <w:spacing w:before="200" w:after="0" w:line="260" w:lineRule="exact"/>
        <w:ind w:left="0" w:right="0" w:firstLine="0"/>
        <w:jc w:val="both"/>
      </w:pPr>
      <w:r>
        <w:rPr>
          <w:rFonts w:ascii="Times New Roman" w:hAnsi="Times New Roman" w:eastAsia="Times New Roman" w:cs="Times New Roman"/>
          <w:b w:val="0"/>
          <w:sz w:val="24"/>
        </w:rPr>
        <w:t>Click here for the official ILPA Diversity Metrics Template.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