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ERISA § 404(c)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404(c) Notice</w:t>
      </w:r>
    </w:p>
    <w:p>
      <w:pPr>
        <w:keepNext w:val="0"/>
        <w:spacing w:before="120" w:after="0" w:line="260" w:lineRule="exact"/>
        <w:ind w:left="360" w:right="0" w:firstLine="0"/>
        <w:jc w:val="left"/>
      </w:pPr>
      <w:r>
        <w:rPr>
          <w:rFonts w:ascii="Times New Roman" w:hAnsi="Times New Roman" w:eastAsia="Times New Roman" w:cs="Times New Roman"/>
          <w:b w:val="0"/>
          <w:sz w:val="24"/>
        </w:rPr>
        <w:t>for the [plan name]</w:t>
      </w:r>
    </w:p>
    <w:p>
      <w:pPr>
        <w:keepNext w:val="0"/>
        <w:spacing w:before="200" w:after="0" w:line="260" w:lineRule="exact"/>
        <w:ind w:left="720" w:right="0" w:firstLine="0"/>
        <w:jc w:val="both"/>
      </w:pPr>
      <w:r>
        <w:rPr>
          <w:rFonts w:ascii="Times New Roman" w:hAnsi="Times New Roman" w:eastAsia="Times New Roman" w:cs="Times New Roman"/>
          <w:b w:val="0"/>
          <w:sz w:val="24"/>
        </w:rPr>
        <w:t>The Employee Retirement Income Security Act (ERISA) provides rules about the investment of retirement funds. [name of plan sponsor] (the “</w:t>
      </w:r>
      <w:r>
        <w:rPr>
          <w:rFonts w:ascii="Times New Roman" w:hAnsi="Times New Roman" w:eastAsia="Times New Roman" w:cs="Times New Roman"/>
          <w:b w:val="0"/>
          <w:sz w:val="24"/>
        </w:rPr>
        <w:t>Plan Sponsor</w:t>
      </w:r>
      <w:r>
        <w:rPr>
          <w:rFonts w:ascii="Times New Roman" w:hAnsi="Times New Roman" w:eastAsia="Times New Roman" w:cs="Times New Roman"/>
          <w:b w:val="0"/>
          <w:sz w:val="24"/>
        </w:rPr>
        <w:t xml:space="preserve">”) chose to qualify the [plan name] (the “Plan”)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ERISA section 404(c) plan, and intends to comply with ERISA section 404(c) (including ERISA regulation 2550.404c-1) requirements by providing information for you to make informed investment decisions and by letting you (1) direct the investment of the assets in your account, (2) choose from at least three diverse investment options, and (3) change investment choices at least quarterly. This means the Plan Sponsor and any other Plan fiduciaries [other than the designated investment manager(s)] may be relieved of any fiduciary duty with respect to losses that are the direct and necessary result of the exercise of control and choice of investments by participants and beneficiaries.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[have been OR will be] provided the information required pursuant to ERISA regulation 2550.404a-5, which includes (among other information)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each designated plan investment alternative, including its goals and strategies, historical and updated performance data and detailed explanations regarding attendant fees and expenses,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document. To direct or transfer funds in your retirement account, or for more information on the Plan’s investment options, you may go to [name of plan recordkeeper]’s website at [website address], or call customer service at [phone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