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Engagement Letter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[Sponsor]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Ladies and Gentlemen: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By this letter agreement (this "Letter Agreement"), we are pleased to confirm the terms and conditions under which [Underwriter] will act as sole lead underwriter for [Sponsor] in connection with the proposed offer and sale (together, the "Offering") of certain classes of mortgage-backed securities (the "Securities") issued by [______] Mortgage Trust [20__-_] (the "Issuing Entity" and such issuance, the "Transaction"). The Issuing Entity is expected to issue (i) one or more classes of senior certificates entitled to [payments of both interest and principal] that will be rated [AAA] or its equivalent by two of Moody's Investors Service, Inc., Fitch Ratings, Inc. or Standard &amp; Poor's Ratings Services,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Standard &amp; Poor's Financial Services LLC business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"Rating Agency" and such Securities, "AAA P&amp;I Senior Securities"), (ii) one or more classes of senior certificates entitled to [interest-only payments] that will be rated [AAA] or its equivalent by two of the Rating Agencies ("AAA IO Senior Securities"), (iii) one or more classes of subordinate certificates (the "Subordinate Securities") and (iv) one or more classes of REMIC residual certificates.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Securities are expected to be secured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pool of mortgage loans (the "Mortgage Loans").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tape (the "Initial Tape") containing information regarding the Mortgage Loans was furnished by [Sponsor] to [Underwriter] on [______], and the final balance will be subject to the related Loan Balance Permitted Variance specified on Annex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from the balance shown on the Initial Tape.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[Sponsor] may substitute up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aggregate of the Permitted Substitution Percentage specified on Annex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hereto (calculated by balance) of the Initial Tape so long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there are no material differences between the attributes of the Mortgage Loans after substitution and the attributes reflected in the Initial Tape that would materially change the AAA P&amp;I Senior Securities credit enhancement level specified in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and (b) the Loan Balance Permitted Variance is maintained after taking account of the related substitutions.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At its sole expense, [Underwriter] shall conduct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customary underwriter's due diligence review of all of the Mortgage Loans and shall have the right, in its reasonable discretion, to have certain loans removed from the final pool of Mortgage Loans based on its due diligence results.</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Structure of the Transaction; Documentation.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Transaction shall be structured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substantially similar in all material respects to previous securitization transactions of fixed rate pools executed by [Sponsor] under the "[______]" program (the "Program"). The disclosures included in the securitization shall be similar to those in the Program, updated to reflect changes made to such disclosures in the Program registration statement declared effective by the SEC on [______]. Such disclosures shall also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424(b) filing made following confirmation of the preliminary engagement substantially in the form previously provided to [Underwriter], but with such changes are necessary or desirable to reflect the terms of this Letter Agreement. In connection therewith, [______] (in such capacity, the "Seller") shall transfer the Mortgage Loans to [______], which shall act as depositor (the "Depositor") for the Transaction. The transaction documents governing (i) the sale of the Mortgage Loans from the Seller to the Depositor, (ii) the sale of the Mortgage Loans from the Depositor to the Issuing Entity or the trustee (the "Trustee") of the Issuing Entity and the issuance and terms of the Securities, (iii) the servicing and administration of the Mortgage Loans by each servicer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Servicer") and supervision thereof by the master servicer (the "Master Servicer"), (iv) the custody of the Mortgage Loan files by the custodian (the "Custodian") and (v) the assignment of representations and warranties (together, the "Basic Transaction Documents"), shall be substantially similar in all material respects to the transaction documents executed in connection with the Program.</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Ratings.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to the consummation of the Transaction that at least two Rating Agencies selected by [Sponsor] (the "Initial Rating Agencies") issue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AAA or equivalent rating in respect of the AAA P&amp;I Senior Securities. The fees of the Initial Rating Agencies shall be paid in accordance with Section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hereof. Notwithstanding any Rating Agency feedback in respect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AAA or equivalent rating, the Initial Credit Enhancement for the AAA P&amp;I Senior Securities shall be specified on Annex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Underwriting Arrangement.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[Underwriter] shall act as sole lead underwriter (the "Underwriter") for the Offering of each class of AAA P&amp;I Senior Securities; provided that, [the Sponsor] shall have the right to designate one additional co-managing underwriter (the "Designated Co-Manager") for the Offering (subject to Section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(b) below). [Underwriter] will have the option, in its sole discretion, to strip off of the AAA P&amp;I Senior Securities one or more interest only certificates, which will have the same interest priority as the AAA P&amp;I Senior Securities and which may be rated AAA or its equivalent by two Rating Agencies (the "Underwritten AAA IO Senior Securities," and together with the AAA P&amp;I Senior Securities, the "Underwritten Senior Securities");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the aggregate interest on the Underwritten Senior Securities does not exceed the Underwritten Senior Securities Interest Rate specified in Annex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Promptly after execution of this Letter Agreement, [Underwriter] and [Sponsor] shall cooperate and work in good faith to negotiate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underwriting agreement (when executed and delivered by the parties, the "Underwriting Agreement") in respect of the Underwritten Senior Securities substantially similar in all material respects to the underwriting agreement executed in connection with the Program. It is expected that [Underwriter] shall purchase Underwritten Senior Securities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aggregate principal amount equal to the Underwritten Senior Securities Balance specified on Annex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subject to the Underwritten Senior Balance Permitted Variance specified on Annex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price equal to the product of (i) the Initial Purchase Price Percentage specified on Annex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adjusted to reflect the Securities Price Adjustment shown in Annex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and subject to Section </w:t>
      </w: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and (ii) the actual Underwritten Senior Securities Balance as of the date of the closing of the Transaction (the "Closing Date");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at [Sponsor]'s sole option,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variance of greater than the positive Underwritten Senior Securities Balance Permitted Variance in the principal amount of the AAA P&amp;I Senior Securities shall be permitted solely to the extent that [Sponsor] purchases the AAA P&amp;I Senior Securities in excess of such variance. The Underwritten Senior Securities Interest Rate on the AAA P&amp;I Senior Securities (without taking into account any Underwritten AAA IO Senior Securities) shall be specified on Annex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[Underwriter] shall be entitled to receive the additional fees or discounts from [Sponsor] in respect of the Underwritten Senior Securities as described under "Additional Fees or Discounts" specified on Annex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Additionally, [Underwriter] acknowledges that, subsequent to the Closing Date, any securities retained by [Sponsor] or any of its affiliates may be placed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underwriter or placement agent.</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Retention of Certain Securities by [Sponsor]</w:t>
      </w:r>
      <w:r>
        <w:rPr>
          <w:rFonts w:ascii="Times New Roman" w:hAnsi="Times New Roman" w:eastAsia="Times New Roman" w:cs="Times New Roman"/>
          <w:b w:val="0"/>
          <w:sz w:val="24"/>
        </w:rPr>
        <w:t>. [Sponsor] shall initially retain (i) the [____] Securities and (ii) the [____] Securities (the "[Sponsor] Retained Securities") issued by the Issuing Entity.</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Adjustment to Purchase Price; Underwriting Fee for Subordinate Securities.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Initial Purchase Price Percentage will be subject to adjustment ("Securities Price Adjustment") as calculated in Annex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In the event that [Sponsor] decides to offer any of the Subordinate Securities under the Underwriting Agreement (such Subordinate Securities, the "Underwritten Subordinate Securities," and together with the Underwritten Senior Securities, the "Underwritten Securities"), [Underwriter] shall receive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underwriting fee calculated as the product of (i) the Subordinate Securities Underwriting Fee Percentage specified on Annex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and (ii) the unpaid principal balance of Underwritten Subordinate Securities as of the Closing Date (the "Subordinate Securities Underwriting Fee").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[Underwriter] will have sole discretion to determine the price at which the Underwritten Senior Securities may be offered to third parties or taken down by [Underwriter]; provided that, such prices allow for all the Underwritten Senior Securities to be sold to third party investors or [Underwriter]; provided further that [Sponsor] may opt to purchase any or all the Underwritten Senior Securities at such price in lieu of [Underwriter]'s sale of the same to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or to itself. Furthermore, if [Sponsor] elects to purchase any Underwritten Senior Securities, then [Sponsor] shall not offer such Underwritten Senior Securities to any third parties until after the Closing Date. The foregoing sentence is subject to the following: [Sponsor] and [Underwriter] shall each be entitled to retain one half of any AAA IO Senior Securities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mutually agreed price.</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Offering Documents.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connection with the Offering and as described in greater particularity in the Underwriting Agreement, [Sponsor] shall prepare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preliminary prospectus supplement and prospectus,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free writing prospectus relating to the ratings of each class of Securities offered in the Offering and (iii)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prospectus supplement and prospectus (together, the "Offering Documents"). The Offering Documents shall contain disclosures regarding, but not limited to, (i) the characteristics of the Mortgage Loans, (ii) the terms of the Securities and yield considerations with respect thereto, (iii) the Seller, the Depositor, [Sponsor] Trust, [the Sponsor], the Trustee, the Issuing Entity, the Servicers, the Custodian, the Master Servicer and the Underwriter, and any material legal proceedings with respect to each such entity and the compensation arrangements (if any) for each such entity, (iv) the tax status, ERISA eligibility and legal investment considerations in respect of the Securities, (v) the material provisions of the Basic Transaction Documents and (vi) the pre-offering review of the Mortgage Loans, in each case substantially similar in nature to the disclosures included in the offering materials for the Program, but updated to reflect changes made to such disclosures in the Program registration statement declared effective by the SEC on [______]. The Offering Documents shall be subject to the approval of [Underwriter] in its commercially reasonable discretion. In connection with the Offering and as described in greater particularity in the Underwriting Agreement, [Underwriter] shall (</w:t>
      </w:r>
      <w:r>
        <w:rPr>
          <w:rFonts w:ascii="Times New Roman" w:hAnsi="Times New Roman" w:eastAsia="Times New Roman" w:cs="Times New Roman"/>
          <w:b/>
          <w:sz w:val="24"/>
        </w:rPr>
        <w:t>a</w:t>
      </w:r>
      <w:r>
        <w:rPr>
          <w:rFonts w:ascii="Times New Roman" w:hAnsi="Times New Roman" w:eastAsia="Times New Roman" w:cs="Times New Roman"/>
          <w:b w:val="0"/>
          <w:sz w:val="24"/>
        </w:rPr>
        <w:t>) prepare the term sheet and (b) generate all collateral and yield tables, in each case based on information provided to [Underwriter] by [Sponsor]. In addition, [Underwriter] shall obtain comfort letters from the hired accounting firm in respect of the documents and/or information specified in (</w:t>
      </w:r>
      <w:r>
        <w:rPr>
          <w:rFonts w:ascii="Times New Roman" w:hAnsi="Times New Roman" w:eastAsia="Times New Roman" w:cs="Times New Roman"/>
          <w:b/>
          <w:sz w:val="24"/>
        </w:rPr>
        <w:t>a</w:t>
      </w:r>
      <w:r>
        <w:rPr>
          <w:rFonts w:ascii="Times New Roman" w:hAnsi="Times New Roman" w:eastAsia="Times New Roman" w:cs="Times New Roman"/>
          <w:b w:val="0"/>
          <w:sz w:val="24"/>
        </w:rPr>
        <w:t>) and (b), which shall be addressed to both [Underwriter] and [Sponsor]. [The Underwriting Agreement shall govern any required indemnification by [Underwriter] or [Sponsor] in respect of the Offering Documents prepared by [Sponsor] and the documents and/or information specified in (</w:t>
      </w:r>
      <w:r>
        <w:rPr>
          <w:rFonts w:ascii="Times New Roman" w:hAnsi="Times New Roman" w:eastAsia="Times New Roman" w:cs="Times New Roman"/>
          <w:b/>
          <w:sz w:val="24"/>
        </w:rPr>
        <w:t>a</w:t>
      </w:r>
      <w:r>
        <w:rPr>
          <w:rFonts w:ascii="Times New Roman" w:hAnsi="Times New Roman" w:eastAsia="Times New Roman" w:cs="Times New Roman"/>
          <w:b w:val="0"/>
          <w:sz w:val="24"/>
        </w:rPr>
        <w:t>) and (b) prepared by [Underwriter] and will be substantially similar in all material respects to the indemnification provisions included in the Program.]</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Certain Expenses.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payment of certain expenses in respect of the Transaction shall be as described under "Expense Allocation" on Annex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expense of any underwriting fee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Co-Manager shall be shared equally by [Underwriter] and [Sponsor] and shall equal[__]% of the balance of the AAA P&amp;I Senior Securities sold to third party investors.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event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unforeseen and unavoidable circumstance arises that [Underwriter] and [Sponsor] mutually agree would prevent the completion of the Transaction, [Underwriter] and [Sponsor] shall execute the Pair-off Payment specified on Annex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If the calculation results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negative amount, [Sponsor] shall make the Pair-off Payment to [Underwriter]. If the calculation results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positive amount, [Underwriter] shall make the Pair-off Payment to [Sponsor].</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Closing of the Transaction; Delay Penalty.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[Underwriter] and [Sponsor] shall make all commercially reasonable efforts to close the Transaction on the Targeted Closing Date specified on Annex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If the Transaction does not close on the Targeted Closing Date, [Underwriter] and [Sponsor] shall make all commercially reasonable efforts to close the Transaction as soon as practicable thereafter but not later than the Latest Permitted Closing Date specified on Annex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To the extent that the Transaction does not close on the Targeted Closing Date but closes on or before the Latest Permitted Closing Date and the failure to close on the Targeted Closing Date is the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delay of or caused by [Sponsor] or Rating Agencies in connection with any Offering Document or the Underwriting Agreement, provided that the Underwriter has provided to [Sponsor] all information required to complete such documents no later than [five (5)] Business Days prior to the Targeted Closing Date, the Initial Purchase Price Percentage shall be reduced by the Delay Penalty Percentage specified on Annex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[Underwriter]'s participation in the Transaction and the Offering shall be subject to the receipt by [Underwriter] of all internal approvals.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[Sponsor] (i) shall make available to [Underwriter] marketing materials substantially similar to the marketing materials used for Program, but updated to reflect changes made to such disclosures in the Program registration statement declared effective by the SEC on [______]; (ii) at the request of [Underwriter], provide such information and documents as may be reasonably requested in order to enable [Underwriter] to market the Underwritten Securities and carry out the engagement contemplated by this Letter Agreement and the Underwriting Agreement; and (iii) assist [Underwriter] in carrying out its duties, functions and responsibilities pursuant hereto and provide reasonable access to the appropriate senior officers, management, accountants, legal counsel and other parties and facilities.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connection with the Transaction, [Sponsor] has contracted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diligence firm to perform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diligence review of the Mortgage Loans. [Sponsor] agrees to make available the loan-level files and loan-level diligence results of such firm to [Underwriter], in order to enable [Underwriter] to conduct and complete its customary due diligence review of the Mortgage Loans. [Sponsor] recognizes and confirms that [Underwriter] will be using information in reports and other information provided by others, including, without limitation, information provided by or on behalf of [Sponsor] and the diligence firm contracted by [Sponsor], and that [Underwriter] does not assume responsibility for and may rely, without independent verification, on the accuracy and completeness of any such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connection with the structuring of the Offering and engaging in the Transaction, [Sponsor] also agrees to provide [Underwriter] with (i) prompt notice of any material development affecting [Sponsor] or the occurrence of any event or other change known to [Sponsor] and relating to [Sponsor] that could affect the Transaction or the Offering (including any marketing materials or Offering Documents) and (ii) any public financial reports or such other information concerning the business and financial condition of [Sponsor] as [Underwriter] may from time to time reasonably request.</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Co-Manager, [Sponsor] agrees that it has not and, unless [Sponsor] and [Underwriter] shall mutually agree in writing, [Sponsor] agrees that it will not engage any other person to act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structurer, arranger, advisor, sole lead underwriter or placement agent in the Transaction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beginning on the date of this Letter Agreement and ending upon the termination of this Letter Agreement.</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terms of this Letter Agreement shall be subject to renegotiation by mutual consent of [Sponsor] and [Underwriter]. Any changes to the contents of Annex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renegotiation shall be reflected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revised Annex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and attached hereto in substitution of any prior version of Annex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[Sponsor] agrees that any documents or information received from [Underwriter], its affiliates or advisors in connection with this Letter Agreement, the Underwriting Agreement and the transactions contemplated herein and therein may contain information that has been developed by [Underwriter]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proprietary basis. [Sponsor] agrees to treat confidentially all such information received hereunder and under the Underwriting Agreement until one year from the date of termination hereof;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nothing herein shall prevent [Sponsor] from disclosing any such information: (i) to purchasers or prospective purchasers of the Underwritten Securities to the extent such information is material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decision, (ii) to any Rating Agency in connection with the Transaction, (iii) pursuant to the order of any court or administrative agency or in any pending legal or administrative proceeding, or to defend any claim in any such proceeding, (iv) as required by law or regulation or upon the request or demand of any regulatory authority having jurisdiction over [Sponsor] or any of its affiliates (including any filings related to or regarding this Agreement so long as [Sponsor] has given prior written notice to and received the prior written consent of [Underwriter] to any such filing), (v) to the extent that such information becomes publicly available other than by reason of disclosure by [Sponsor] or was or becomes available to [Sponsor] or its affiliates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source which is not known by [Sponsor] to be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confidentiality obligation with respect thereto, or (vi) to [Sponsor]'s affiliates and its and their respective employees, legal counsel, independent auditors and other experts or agents who need to know such information in connection with the Offering, the Transaction or any other services provided by [Sponsor] or its affiliates to [Underwriter] and its affiliates, provided (</w:t>
      </w:r>
      <w:r>
        <w:rPr>
          <w:rFonts w:ascii="Times New Roman" w:hAnsi="Times New Roman" w:eastAsia="Times New Roman" w:cs="Times New Roman"/>
          <w:b/>
          <w:sz w:val="24"/>
        </w:rPr>
        <w:t>a</w:t>
      </w:r>
      <w:r>
        <w:rPr>
          <w:rFonts w:ascii="Times New Roman" w:hAnsi="Times New Roman" w:eastAsia="Times New Roman" w:cs="Times New Roman"/>
          <w:b w:val="0"/>
          <w:sz w:val="24"/>
        </w:rPr>
        <w:t>) that such persons are made aware of the proprietary nature of such information and (b) that [Sponsor] shall be responsible for any breach of this provision by such persons. [Sponsor] understands that portions of the non-public information may be subject to the Gramm-Leach-Bliley Act of 1999 (the "GLB") and other applicable privacy laws and regulations and agrees to maintain such information as required by the GLB and such other applicable privacy laws and regulations for financial institutions notwithstanding the proviso to this paragraph (other than clauses (ii), and (iii), (iv) and (v) of such proviso) or any termination of this Letter Agreement.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[Underwriter] agrees to treat confidentially all non-public information provided to it by or on behalf of [Sponsor] hereunder until one year from the date of termination hereof;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nothing herein shall prevent [Underwriter] from disclosing any such information: (i) to purchasers or prospective purchasers of the Underwritten Securities to the extent such information is material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decision, (ii) pursuant to the order of any court or administrative agency or in any pending legal or administrative proceeding, or to defend any claim in any such proceeding, (iii) as required by law or regulation or upon the request or demand of any regulatory authority having jurisdiction over [Underwriter] or any of its affiliates, (iv) to the extent that such information becomes publicly available other than by reason of disclosure by [Underwriter] or was or becomes available to [Underwriter] or its affiliates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source which is not known by [Underwriter] to be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confidentiality obligation with respect thereto, or (v) to affiliates of [Underwriter] and its and their respective employees, legal counsel, independent auditors and other experts or agents who need to know such information in connection with the Offering, the Transaction or any other services provided by [Underwriter] or its affiliates to the [Sponsor] and its affiliates, provided that such persons are made aware of the proprietary nature of such information. [Underwriter] understands that portions of the non-public information may be subject to the GLB and other applicable privacy laws and regulations and agrees to maintain such information as required by the GLB and such other applicable privacy laws and regulations for financial institutions notwithstanding the proviso to this paragraph (other than clauses (ii), (iii) and (v) of such proviso) or any termination of this Letter Agreement.</w:t>
      </w:r>
    </w:p>
    <w:p>
      <w:pPr>
        <w:keepNext w:val="0"/>
        <w:spacing w:before="200" w:after="0" w:line="260" w:lineRule="exact"/>
        <w:ind w:left="720" w:right="0" w:firstLine="0"/>
        <w:jc w:val="both"/>
      </w:pPr>
      <w:r>
        <w:rPr>
          <w:rFonts w:ascii="Times New Roman" w:hAnsi="Times New Roman" w:eastAsia="Times New Roman" w:cs="Times New Roman"/>
          <w:b w:val="0"/>
          <w:sz w:val="24"/>
        </w:rPr>
        <w:t>Notwithstanding any other provision in this Letter Agreement, in connection with Section 1.6011-4 of the Treasury Regulations, the parties hereby agree that each party (and each employee, representative, or other agent of such party) may disclose to any and all persons, without limitation of any kind, the U.S. tax treatment and U.S. tax structure of the transaction and all materials of any kind (including opinions or other tax analyses) that are provided to such party relating to such U.S. tax treatment and U.S. tax structure, other than any information for which nondisclosure is reasonably necessary in order to comply with applicable securities laws.</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LETTER AGREEMENT SHALL BE GOVERNED BY, AND CONSTRUED IN ACCORDANCE WITH, THE LAWS OF THE STATE OF NEW YORK APPLICABLE TO AGREEMENTS MADE AND TO BE PERFORMED THEREIN, WITHOUT REFERENCE TO ITS CONFLICT OF LAW PROVISIONS (OTHER THAN SECTION 5-1401 OF THE GENERAL OBLIGATIONS LAW), AND THE OBLIGATIONS, RIGHTS AND REMEDIES OF THE PARTIES HEREUNDER SHALL BE DETERMINED IN ACCORDANCE WITH SUCH LAWS.</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Advisory or Fiduciary Responsibility.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[Sponsor] acknowledges and agrees that: (i) the transactions contemplated by this Letter Agreement and the Underwriting Agreement are arm's-length commercial transactions between [Sponsor], on the one hand, and [Underwriter], on the other hand, and [Sponsor] is capable of evaluating and understanding and understands and accepts the terms, risks and conditions of the transactions contemplated by this Letter Agreement and the Underwriting Agreement; (ii) in connection with each transaction contemplated hereby and the process leading to each such transaction [Underwriter] is and has been acting solely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 and is not the financial advisor, agent or fiduciary of [Sponsor] or its affiliates, stockholders, creditors or employees or any other party; (iii) [Underwriter] has not assumed and will not assume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advisory, agency or fiduciary responsibility in favor of [Sponsor] with respect to any of the transactions contemplated hereby or the process leading thereto (irrespective of whether [Underwriter] has advised or is currently advising [Sponsor] on other matters) or any other obligation to [Sponsor] except the obligations expressly set forth in this Letter Agreement and the Underwriting Agreement; (iv) [Underwriter] and its affiliates may be engaged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broad range of transactions that involve interests that differ from those of [Sponsor] and that [Underwriter] has no obligation to disclose any of such interests by virtue of any advisory, agency or fiduciary relationship; and (v) [Underwriter] has not provided any legal, accounting, regulatory or tax advice with respect to the Offering and [Sponsor] has consulted its own legal, accounting, regulatory and tax advisors to the extent it deemed appropriate.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[Sponsor] acknowledges and agrees that [Underwriter] is acting solely in the capacity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arm's length contractual counterparty to [Sponsor] with respect to the Offering and the Transaction (including in connection with determining the terms of the Offering) and not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advisor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to,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of, [Sponsor] or any other person. In addition, [Underwriter] is not advising [Sponsor] or any other person as to any legal, tax, investment, accounting or regulatory matters in any jurisdiction. [Sponsor] shall consult with its own advisors concerning such matters, and [Underwriter] shall have no responsibility or liability to [Sponsor] with respect thereto. Any review by [Underwriter] of [Sponsor], the transactions contemplated by this Letter Agreement and the Underwriting Agreement (including the Offering and the Transaction) or other matters relating to such transactions will be performed solely for the benefit of [Underwriter] and shall not be on behalf of [Sponsor].</w:t>
      </w:r>
    </w:p>
    <w:p>
      <w:pPr>
        <w:keepNext w:val="0"/>
        <w:spacing w:before="120" w:after="0" w:line="260" w:lineRule="exact"/>
        <w:ind w:left="72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Underwriting Agreement shall supersede this Letter Agreement in any and all respects, except that the provisions of Sections </w:t>
      </w: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shall survive the execution of the Underwriting Agreement. This Letter Agreement shall terminate upon written mutual consent of [Underwriter], [the Sponsor] and [Sponsor] Trust at any time, including any extension agreed to pursuant to this Section </w:t>
      </w: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In the event that the Transaction does not close on or before the Latest Permitted Closing Date, the obligations of [Sponsor] and [Underwriter] under this Letter Agreement shall terminate unless [Underwriter] and [Sponsor] mutually agree in writing to extend this Letter Agreement, subject to any additional terms and conditions agreed to at the time of such extension, except that the provisions of Sections </w:t>
      </w: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shall survive the termination of this Letter Agreement. [Sponsor] and [Underwriter] acknowledge that the consummation of the Transaction contemplated herein is subject to various conditions and limitations, and that the provisions of this Letter Agreement are preliminary and dependent upon the satisfaction of such conditions and the occurrence of certain events.</w:t>
      </w:r>
    </w:p>
    <w:p>
      <w:pPr>
        <w:keepNext w:val="0"/>
        <w:spacing w:before="200" w:after="0" w:line="260" w:lineRule="exact"/>
        <w:ind w:left="360" w:right="0" w:firstLine="0"/>
        <w:jc w:val="both"/>
      </w:pPr>
      <w:r>
        <w:rPr>
          <w:rFonts w:ascii="Times New Roman" w:hAnsi="Times New Roman" w:eastAsia="Times New Roman" w:cs="Times New Roman"/>
          <w:b w:val="0"/>
          <w:sz w:val="24"/>
        </w:rPr>
        <w:t>[SIGNATURE PAGE FOLLOWS]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If the foregoing correctly sets forth your understanding of our agreement with respect to the matters set forth herein, please so indicate by signing two copies of this Letter Agreement and returning one of those signed copies to the undersigned, whereupon this Letter Agreement will constitute our binding agreement.</w:t>
      </w:r>
    </w:p>
    <w:p>
      <w:pPr>
        <w:keepNext w:val="0"/>
        <w:spacing w:before="200" w:after="0" w:line="260" w:lineRule="exact"/>
        <w:ind w:left="360" w:right="0" w:firstLine="0"/>
        <w:jc w:val="both"/>
      </w:pPr>
      <w:r>
        <w:rPr>
          <w:rFonts w:ascii="Times New Roman" w:hAnsi="Times New Roman" w:eastAsia="Times New Roman" w:cs="Times New Roman"/>
          <w:b w:val="0"/>
          <w:sz w:val="24"/>
        </w:rPr>
        <w:t>Very truly yours,</w:t>
      </w:r>
    </w:p>
    <w:p>
      <w:pPr>
        <w:keepNext w:val="0"/>
        <w:spacing w:before="200" w:after="0" w:line="260" w:lineRule="exact"/>
        <w:ind w:left="360" w:right="0" w:firstLine="0"/>
        <w:jc w:val="both"/>
      </w:pPr>
      <w:r>
        <w:rPr>
          <w:rFonts w:ascii="Times New Roman" w:hAnsi="Times New Roman" w:eastAsia="Times New Roman" w:cs="Times New Roman"/>
          <w:b w:val="0"/>
          <w:sz w:val="24"/>
        </w:rPr>
        <w:t>[Underwriter]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keepNext w:val="0"/>
        <w:spacing w:before="200" w:after="0" w:line="260" w:lineRule="exact"/>
        <w:ind w:left="360" w:right="0" w:firstLine="0"/>
        <w:jc w:val="both"/>
      </w:pPr>
      <w:r>
        <w:rPr>
          <w:rFonts w:ascii="Times New Roman" w:hAnsi="Times New Roman" w:eastAsia="Times New Roman" w:cs="Times New Roman"/>
          <w:b w:val="0"/>
          <w:sz w:val="24"/>
        </w:rPr>
        <w:t>Accepted and agreed to as of the date first above written:</w:t>
      </w:r>
    </w:p>
    <w:p>
      <w:pPr>
        <w:keepNext w:val="0"/>
        <w:spacing w:before="200" w:after="0" w:line="260" w:lineRule="exact"/>
        <w:ind w:left="360" w:right="0" w:firstLine="0"/>
        <w:jc w:val="both"/>
      </w:pPr>
      <w:r>
        <w:rPr>
          <w:rFonts w:ascii="Times New Roman" w:hAnsi="Times New Roman" w:eastAsia="Times New Roman" w:cs="Times New Roman"/>
          <w:b w:val="0"/>
          <w:sz w:val="24"/>
        </w:rPr>
        <w:t>[Sponsor]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Annex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Statistical Calculation Date:</w:t>
      </w:r>
    </w:p>
    <w:p>
      <w:pPr>
        <w:keepNext w:val="0"/>
        <w:spacing w:before="200" w:after="0" w:line="260" w:lineRule="exact"/>
        <w:ind w:left="720" w:right="0" w:firstLine="0"/>
        <w:jc w:val="both"/>
      </w:pPr>
      <w:r>
        <w:rPr>
          <w:rFonts w:ascii="Times New Roman" w:hAnsi="Times New Roman" w:eastAsia="Times New Roman" w:cs="Times New Roman"/>
          <w:b w:val="0"/>
          <w:sz w:val="24"/>
        </w:rPr>
        <w:t>Description of the Mortgage Loans:</w:t>
      </w:r>
    </w:p>
    <w:p>
      <w:pPr>
        <w:keepNext w:val="0"/>
        <w:spacing w:before="200" w:after="0" w:line="260" w:lineRule="exact"/>
        <w:ind w:left="720" w:right="0" w:firstLine="0"/>
        <w:jc w:val="both"/>
      </w:pPr>
      <w:r>
        <w:rPr>
          <w:rFonts w:ascii="Times New Roman" w:hAnsi="Times New Roman" w:eastAsia="Times New Roman" w:cs="Times New Roman"/>
          <w:b w:val="0"/>
          <w:sz w:val="24"/>
        </w:rPr>
        <w:t>Loan Balance Permitted Variance:</w:t>
      </w:r>
    </w:p>
    <w:p>
      <w:pPr>
        <w:keepNext w:val="0"/>
        <w:spacing w:before="200" w:after="0" w:line="260" w:lineRule="exact"/>
        <w:ind w:left="720" w:right="0" w:firstLine="0"/>
        <w:jc w:val="both"/>
      </w:pPr>
      <w:r>
        <w:rPr>
          <w:rFonts w:ascii="Times New Roman" w:hAnsi="Times New Roman" w:eastAsia="Times New Roman" w:cs="Times New Roman"/>
          <w:b w:val="0"/>
          <w:sz w:val="24"/>
        </w:rPr>
        <w:t>Permitted Substitution Percentage:</w:t>
      </w:r>
    </w:p>
    <w:p>
      <w:pPr>
        <w:keepNext w:val="0"/>
        <w:spacing w:before="200" w:after="0" w:line="260" w:lineRule="exact"/>
        <w:ind w:left="720" w:right="0" w:firstLine="0"/>
        <w:jc w:val="both"/>
      </w:pPr>
      <w:r>
        <w:rPr>
          <w:rFonts w:ascii="Times New Roman" w:hAnsi="Times New Roman" w:eastAsia="Times New Roman" w:cs="Times New Roman"/>
          <w:b w:val="0"/>
          <w:sz w:val="24"/>
        </w:rPr>
        <w:t>Initial Credit Enhancement:</w:t>
      </w:r>
    </w:p>
    <w:p>
      <w:pPr>
        <w:keepNext w:val="0"/>
        <w:spacing w:before="200" w:after="0" w:line="260" w:lineRule="exact"/>
        <w:ind w:left="720" w:right="0" w:firstLine="0"/>
        <w:jc w:val="both"/>
      </w:pPr>
      <w:r>
        <w:rPr>
          <w:rFonts w:ascii="Times New Roman" w:hAnsi="Times New Roman" w:eastAsia="Times New Roman" w:cs="Times New Roman"/>
          <w:b w:val="0"/>
          <w:sz w:val="24"/>
        </w:rPr>
        <w:t>Underwritten Senior Securities Balance:</w:t>
      </w:r>
    </w:p>
    <w:p>
      <w:pPr>
        <w:keepNext w:val="0"/>
        <w:spacing w:before="200" w:after="0" w:line="260" w:lineRule="exact"/>
        <w:ind w:left="720" w:right="0" w:firstLine="0"/>
        <w:jc w:val="both"/>
      </w:pPr>
      <w:r>
        <w:rPr>
          <w:rFonts w:ascii="Times New Roman" w:hAnsi="Times New Roman" w:eastAsia="Times New Roman" w:cs="Times New Roman"/>
          <w:b w:val="0"/>
          <w:sz w:val="24"/>
        </w:rPr>
        <w:t>Underwritten Senior Securities Balance Permitted Variance:</w:t>
      </w:r>
    </w:p>
    <w:p>
      <w:pPr>
        <w:keepNext w:val="0"/>
        <w:spacing w:before="200" w:after="0" w:line="260" w:lineRule="exact"/>
        <w:ind w:left="720" w:right="0" w:firstLine="0"/>
        <w:jc w:val="both"/>
      </w:pPr>
      <w:r>
        <w:rPr>
          <w:rFonts w:ascii="Times New Roman" w:hAnsi="Times New Roman" w:eastAsia="Times New Roman" w:cs="Times New Roman"/>
          <w:b w:val="0"/>
          <w:sz w:val="24"/>
        </w:rPr>
        <w:t>Initial Purchase Price Percentage:</w:t>
      </w:r>
    </w:p>
    <w:p>
      <w:pPr>
        <w:keepNext w:val="0"/>
        <w:spacing w:before="200" w:after="0" w:line="260" w:lineRule="exact"/>
        <w:ind w:left="720" w:right="0" w:firstLine="0"/>
        <w:jc w:val="both"/>
      </w:pPr>
      <w:r>
        <w:rPr>
          <w:rFonts w:ascii="Times New Roman" w:hAnsi="Times New Roman" w:eastAsia="Times New Roman" w:cs="Times New Roman"/>
          <w:b w:val="0"/>
          <w:sz w:val="24"/>
        </w:rPr>
        <w:t>Securities Price Adjustment:</w:t>
      </w:r>
    </w:p>
    <w:p>
      <w:pPr>
        <w:keepNext w:val="0"/>
        <w:spacing w:before="200" w:after="0" w:line="260" w:lineRule="exact"/>
        <w:ind w:left="720" w:right="0" w:firstLine="0"/>
        <w:jc w:val="both"/>
      </w:pPr>
      <w:r>
        <w:rPr>
          <w:rFonts w:ascii="Times New Roman" w:hAnsi="Times New Roman" w:eastAsia="Times New Roman" w:cs="Times New Roman"/>
          <w:b w:val="0"/>
          <w:sz w:val="24"/>
        </w:rPr>
        <w:t>Underwritten Senior Securities Interest Rate:</w:t>
      </w:r>
    </w:p>
    <w:p>
      <w:pPr>
        <w:keepNext w:val="0"/>
        <w:spacing w:before="200" w:after="0" w:line="260" w:lineRule="exact"/>
        <w:ind w:left="720" w:right="0" w:firstLine="0"/>
        <w:jc w:val="both"/>
      </w:pPr>
      <w:r>
        <w:rPr>
          <w:rFonts w:ascii="Times New Roman" w:hAnsi="Times New Roman" w:eastAsia="Times New Roman" w:cs="Times New Roman"/>
          <w:b w:val="0"/>
          <w:sz w:val="24"/>
        </w:rPr>
        <w:t>Additional Fees or Discounts:</w:t>
      </w:r>
    </w:p>
    <w:p>
      <w:pPr>
        <w:keepNext w:val="0"/>
        <w:spacing w:before="200" w:after="0" w:line="260" w:lineRule="exact"/>
        <w:ind w:left="720" w:right="0" w:firstLine="0"/>
        <w:jc w:val="both"/>
      </w:pPr>
      <w:r>
        <w:rPr>
          <w:rFonts w:ascii="Times New Roman" w:hAnsi="Times New Roman" w:eastAsia="Times New Roman" w:cs="Times New Roman"/>
          <w:b w:val="0"/>
          <w:sz w:val="24"/>
        </w:rPr>
        <w:t>Subordinate Securities Underwriting Fee Percentage:</w:t>
      </w:r>
    </w:p>
    <w:p>
      <w:pPr>
        <w:keepNext w:val="0"/>
        <w:spacing w:before="200" w:after="0" w:line="260" w:lineRule="exact"/>
        <w:ind w:left="720" w:right="0" w:firstLine="0"/>
        <w:jc w:val="both"/>
      </w:pPr>
      <w:r>
        <w:rPr>
          <w:rFonts w:ascii="Times New Roman" w:hAnsi="Times New Roman" w:eastAsia="Times New Roman" w:cs="Times New Roman"/>
          <w:b w:val="0"/>
          <w:sz w:val="24"/>
        </w:rPr>
        <w:t>Expense Allocation:</w:t>
      </w:r>
    </w:p>
    <w:p>
      <w:pPr>
        <w:keepNext w:val="0"/>
        <w:spacing w:before="200" w:after="0" w:line="260" w:lineRule="exact"/>
        <w:ind w:left="720" w:right="0" w:firstLine="0"/>
        <w:jc w:val="both"/>
      </w:pPr>
      <w:r>
        <w:rPr>
          <w:rFonts w:ascii="Times New Roman" w:hAnsi="Times New Roman" w:eastAsia="Times New Roman" w:cs="Times New Roman"/>
          <w:b w:val="0"/>
          <w:sz w:val="24"/>
        </w:rPr>
        <w:t>Targeted Closing Date:</w:t>
      </w:r>
    </w:p>
    <w:p>
      <w:pPr>
        <w:keepNext w:val="0"/>
        <w:spacing w:before="200" w:after="0" w:line="260" w:lineRule="exact"/>
        <w:ind w:left="720" w:right="0" w:firstLine="0"/>
        <w:jc w:val="both"/>
      </w:pPr>
      <w:r>
        <w:rPr>
          <w:rFonts w:ascii="Times New Roman" w:hAnsi="Times New Roman" w:eastAsia="Times New Roman" w:cs="Times New Roman"/>
          <w:b w:val="0"/>
          <w:sz w:val="24"/>
        </w:rPr>
        <w:t>Latest Permitted Closing Date:</w:t>
      </w:r>
    </w:p>
    <w:p>
      <w:pPr>
        <w:keepNext w:val="0"/>
        <w:spacing w:before="200" w:after="0" w:line="260" w:lineRule="exact"/>
        <w:ind w:left="720" w:right="0" w:firstLine="0"/>
        <w:jc w:val="both"/>
      </w:pPr>
      <w:r>
        <w:rPr>
          <w:rFonts w:ascii="Times New Roman" w:hAnsi="Times New Roman" w:eastAsia="Times New Roman" w:cs="Times New Roman"/>
          <w:b w:val="0"/>
          <w:sz w:val="24"/>
        </w:rPr>
        <w:t>Delay Penalty Percentage:</w:t>
      </w:r>
    </w:p>
    <w:p>
      <w:pPr>
        <w:keepNext w:val="0"/>
        <w:spacing w:before="200" w:after="0" w:line="260" w:lineRule="exact"/>
        <w:ind w:left="720" w:right="0" w:firstLine="0"/>
        <w:jc w:val="both"/>
      </w:pPr>
      <w:r>
        <w:rPr>
          <w:rFonts w:ascii="Times New Roman" w:hAnsi="Times New Roman" w:eastAsia="Times New Roman" w:cs="Times New Roman"/>
          <w:b w:val="0"/>
          <w:sz w:val="24"/>
        </w:rPr>
        <w:t>Pair-off Payment: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