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(Company) rules and regulations regarding anti-discrimination laws and to educate employees about their rights and compliance obligations. The Policy applies to all employees and applicants, as well as to all interactions with independent contractors, temporary employees, and any other firms or their employees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to all employees and candidates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creed, color, religion, sex (including pregnancy), sexual orientation (including transgender, gender identity, and gender expression), national origin or ancestry, age, disability, genetic information, marital status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is married to or plans to marry another employee), victims of stalking, sexual assault, or domestic abuse or violence (for seeking leave from work for protection), military status,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discrimination, harassment, or retaliation by any supervisor, manager, co-worker, or third party that comes in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36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Equal Employment Opportunity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