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Equal Employment Opportunity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Equal Employment Opportunity Policy is designed to summarize [name of company]'s (the Company) rules and regulations regarding anti-discrimination laws and to educate employees about their rights and compliance obligations. The policy applies to all employees and applicants, as well as to all interactions with independent contractors, temporary employees, and any other firms or their employees working with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Equal Employment Opportunity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seeks to provide equal employment opportunities to all employees and candidates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of any kind based on race, color, religion, sex (including pregnancy, sexual orientation, and gender identity), national origin (including ancestry), age, physical, mental or sensory disability, genetic information, marital status, sexual orientation (including gender expression or identity), creed, honorably discharged veteran or military status,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animal or guide dog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disabled person; HIV or hepatitis C status;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sexual assault or stalking  or any other protected classification under federal, state, or local law. The law protects all persons, including non-citizens, from unlawful discrimination. The Company also prohibits retaliation against anyone who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provides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testifies, assists, or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prohibits any discrimination, harassment, or retaliation by any supervisor, manager, co-worker, or third party that comes into contact with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these provisions may be subject to discipline,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opportunities or requirements, classification, and evaluation.</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discrimination in the form of harassment (including sexual harassment)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720" w:right="0" w:firstLine="0"/>
        <w:jc w:val="both"/>
      </w:pPr>
      <w:r>
        <w:rPr>
          <w:rFonts w:ascii="Times New Roman" w:hAnsi="Times New Roman" w:eastAsia="Times New Roman" w:cs="Times New Roman"/>
          <w:b w:val="0"/>
          <w:sz w:val="24"/>
        </w:rPr>
        <w:t>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that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Equal Employment Opportunity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