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Equity Award Grant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p>
    <w:p>
      <w:pPr>
        <w:keepNext w:val="0"/>
        <w:spacing w:before="120" w:after="0" w:line="260" w:lineRule="exact"/>
        <w:ind w:left="360" w:right="0" w:firstLine="0"/>
        <w:jc w:val="left"/>
      </w:pPr>
      <w:r>
        <w:rPr>
          <w:rFonts w:ascii="Times New Roman" w:hAnsi="Times New Roman" w:eastAsia="Times New Roman" w:cs="Times New Roman"/>
          <w:b/>
          <w:sz w:val="24"/>
        </w:rPr>
        <w:t>DIRECTOR EQUITY AWARD GRANT POLICY</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purpose of this Equity Award Grant Policy (this “</w:t>
      </w:r>
      <w:r>
        <w:rPr>
          <w:rFonts w:ascii="Times New Roman" w:hAnsi="Times New Roman" w:eastAsia="Times New Roman" w:cs="Times New Roman"/>
          <w:b w:val="0"/>
          <w:sz w:val="24"/>
        </w:rPr>
        <w:t>Policy</w:t>
      </w:r>
      <w:r>
        <w:rPr>
          <w:rFonts w:ascii="Times New Roman" w:hAnsi="Times New Roman" w:eastAsia="Times New Roman" w:cs="Times New Roman"/>
          <w:b w:val="0"/>
          <w:sz w:val="24"/>
        </w:rPr>
        <w:t>”) is to set forth the rules and procedures for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to follow when granting equity-based incentive compensation awards, including nonqualified stock options, incentive stock options, shares of restricted stock, restricted stock units, or other equity-based awards (collectively, “</w:t>
      </w:r>
      <w:r>
        <w:rPr>
          <w:rFonts w:ascii="Times New Roman" w:hAnsi="Times New Roman" w:eastAsia="Times New Roman" w:cs="Times New Roman"/>
          <w:b w:val="0"/>
          <w:sz w:val="24"/>
        </w:rPr>
        <w:t>Equity Awards</w:t>
      </w:r>
      <w:r>
        <w:rPr>
          <w:rFonts w:ascii="Times New Roman" w:hAnsi="Times New Roman" w:eastAsia="Times New Roman" w:cs="Times New Roman"/>
          <w:b w:val="0"/>
          <w:sz w:val="24"/>
        </w:rPr>
        <w:t>”), to each member of the Company’s board of directors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xml:space="preserve">") of ")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Non-Employee Director</w:t>
      </w:r>
      <w:r>
        <w:rPr>
          <w:rFonts w:ascii="Times New Roman" w:hAnsi="Times New Roman" w:eastAsia="Times New Roman" w:cs="Times New Roman"/>
          <w:b w:val="0"/>
          <w:sz w:val="24"/>
        </w:rPr>
        <w:t>") pursuant to the [equity incentive plan name]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This Policy is subject to the terms and conditions of the Plan and any terms or conditions not specifically set forth or provided within this Policy shall be governed by the Plan. This Policy does not apply to Equity Awards granted to the Company's employees and other service providers. Capitalized but undefined terms used herein shall have the meanings provided for in the Plan.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Committee Authority and Approval of Equity 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compensation committee of the Board  (the "</w:t>
      </w:r>
      <w:r>
        <w:rPr>
          <w:rFonts w:ascii="Times New Roman" w:hAnsi="Times New Roman" w:eastAsia="Times New Roman" w:cs="Times New Roman"/>
          <w:b w:val="0"/>
          <w:sz w:val="24"/>
        </w:rPr>
        <w:t>Compensation Committee</w:t>
      </w:r>
      <w:r>
        <w:rPr>
          <w:rFonts w:ascii="Times New Roman" w:hAnsi="Times New Roman" w:eastAsia="Times New Roman" w:cs="Times New Roman"/>
          <w:b w:val="0"/>
          <w:sz w:val="24"/>
        </w:rPr>
        <w:t xml:space="preserve">") has full authority to adopt and interpret policies and procedures for the grant of Equity Awards to Non-Employee Directors under the Plan in accordance with its terms and this Policy. This Policy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non-discretionary formula for the amount of Equity Awards to be granted and the conditions on which the Equity Awards will be granted, become exercised/settled and/or payable, expire, and such other terms and conditions as the Compensation Committee deems appropriate in its discretion.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Timing of Equity Award Grants.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administrative and accounting purposes, the Company will grant Equity Awards based on the schedule described in this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(each date of grant as set forth herein,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Grant Date</w:t>
      </w:r>
      <w:r>
        <w:rPr>
          <w:rFonts w:ascii="Times New Roman" w:hAnsi="Times New Roman" w:eastAsia="Times New Roman" w:cs="Times New Roman"/>
          <w:b w:val="0"/>
          <w:sz w:val="24"/>
        </w:rPr>
        <w:t xml:space="preserve">”). The Compensation Committee retains the discretion, however, to grant Equity Awards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other than as set forth herein. Notwithstanding the foregoing, all grants of equity awards must be consistent with any relevant Company insider trading or other policy.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Grant.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person who is elected or appointed for the first time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Non-Employee Director will, automatically and without necessity of any action by the Board or any committee thereof, be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Award in the form of [type of equity award]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equal to [dollar-based amount or formula] on, and determined as of, the first day of the month following the month of his or her initial election or appointment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Non-Employee Director, which date shall be the Grant Date of such Equity Award.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Grants.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the day following each annual meeting of the Company’s stockholders, each person who is then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Non-Employee Director automatically will be granted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Awards in the form of [type of equity award]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equal to [dollar-based amount or formula] (such day being the Grant Date of such Equity Award).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Equity Award Vauation.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value of each Equity Award granted pursuant to this policy shall be determined based on [“the fair market value as of the Grant Date, as determined by the Board” OR “the closing market price of the Company’s common stock on the last day of trading immediately prior to the Grant Date” OR other applicable rules], in accordance with the policies and procedures established by the Compensation Committee.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Communication with Non-Employee Directors.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Company will provide each grantee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Award with written notice within [number of days] days following approval (whether or not automatic) of such Equity Award. Such communication shall be made by email or in writing. The Company will maintain appropriate records of the key terms of such Equity Award either electronically or via another method of the Company’s choice.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409A Compliance.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Grants of Equity Awards will comply with Internal Revenue Code section 409A and the interpretive guidance thereunder (“</w:t>
      </w:r>
      <w:r>
        <w:rPr>
          <w:rFonts w:ascii="Times New Roman" w:hAnsi="Times New Roman" w:eastAsia="Times New Roman" w:cs="Times New Roman"/>
          <w:b w:val="0"/>
          <w:sz w:val="24"/>
        </w:rPr>
        <w:t>Section 409A</w:t>
      </w:r>
      <w:r>
        <w:rPr>
          <w:rFonts w:ascii="Times New Roman" w:hAnsi="Times New Roman" w:eastAsia="Times New Roman" w:cs="Times New Roman"/>
          <w:b w:val="0"/>
          <w:sz w:val="24"/>
        </w:rPr>
        <w:t>”), including, to the maximum extent applicable, the exceptions for (among others) certain stock rights.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this Policy.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Board shall designate the [position/title] of the [applicable department, e.g., Human Resources] department to be responsible for ensuring compliance with this Policy.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Policy may be modified or amended at any time by the Board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which would cause any outstanding award or distribution to fail to comply with Section 409A.</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 of the Policy.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Unless sooner terminated, this Policy shall be coterminous with the Plan. After the Plan is terminated, no Equity Awards may be granted, but any Equity Award previously granted shall remain outstanding in accordance with the terms and conditions of this Policy, the Plan, and any applicable award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Right to Nomination.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Nothing contained in this Policy shall confer upon any Non-Employee Director the right to be nominated for re-election to the Board.</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Effective Date.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Policy was adopted by the Board and became effective as of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