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Exclusive Forum Bylaws</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Section [_____]. Unless the Corporation consents in writing to the selection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alternative forum, [the [specific court in the [State of Delaware]] [any state court in the [State of Delaware]] shall be the sole and exclusive forum for (i) any derivative action or proceeding brought on behalf of the Corporation, (ii) any action asserting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based on, breach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duty owed by, or other wrongdoing by, any current or former director, officer, employee or stockholder of the Corporation to the Corporation or the Corporation’s stockholders, (iii) any action asserting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against the Corporation or any current or former director, officer, employee or stockholder of the Corporation of breach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duty owed by, or other wrongdoing by, any director, officer, or other employee of the Corporation to the Corporation or the Corporation’s stockholders, (iii) any action asserting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against the Corporation arising pursuant to any provision of the [General Corporation Law of the State of Delaware], the Corporation’s [Amended and Restated] Certificate of Incorporation or its [Amended and Restated] Bylaws, or (iv) any action to interpret, apply, enforce or determine the validity of the Corporation’s [Amended and Restated] Certificate of Incorporation or [Amended and Restated] By-Laws, or (v) any action asserting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against the Corporation governed by the internal affairs doctrine. Any person or entity purchasing or otherwise acquiring any interest in shares of stock of the Corporation shall be deemed to have notice of and consented to the provisions of this Article.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