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Exempt Accredited Investor Representation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[Name/Address of Company or Counsel]</w:t>
      </w:r>
    </w:p>
    <w:p>
      <w:pPr>
        <w:keepNext w:val="0"/>
        <w:spacing w:before="200" w:after="0" w:line="260" w:lineRule="exact"/>
        <w:ind w:left="360" w:right="0" w:firstLine="0"/>
        <w:jc w:val="both"/>
      </w:pPr>
      <w:r>
        <w:rPr>
          <w:rFonts w:ascii="Times New Roman" w:hAnsi="Times New Roman" w:eastAsia="Times New Roman" w:cs="Times New Roman"/>
          <w:b w:val="0"/>
          <w:sz w:val="24"/>
        </w:rPr>
        <w:t>Dear [Company Representative Name]: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Rule 501(</w:t>
      </w:r>
      <w:r>
        <w:rPr>
          <w:rFonts w:ascii="Times New Roman" w:hAnsi="Times New Roman" w:eastAsia="Times New Roman" w:cs="Times New Roman"/>
          <w:b/>
          <w:sz w:val="24"/>
        </w:rPr>
        <w:t>a</w:t>
      </w:r>
      <w:r>
        <w:rPr>
          <w:rFonts w:ascii="Times New Roman" w:hAnsi="Times New Roman" w:eastAsia="Times New Roman" w:cs="Times New Roman"/>
          <w:b w:val="0"/>
          <w:sz w:val="24"/>
        </w:rPr>
        <w:t>) (“</w:t>
      </w:r>
      <w:r>
        <w:rPr>
          <w:rFonts w:ascii="Times New Roman" w:hAnsi="Times New Roman" w:eastAsia="Times New Roman" w:cs="Times New Roman"/>
          <w:b w:val="0"/>
          <w:sz w:val="24"/>
        </w:rPr>
        <w:t>Rule 501(</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of Regulation D (“</w:t>
      </w:r>
      <w:r>
        <w:rPr>
          <w:rFonts w:ascii="Times New Roman" w:hAnsi="Times New Roman" w:eastAsia="Times New Roman" w:cs="Times New Roman"/>
          <w:b w:val="0"/>
          <w:sz w:val="24"/>
        </w:rPr>
        <w:t>Regulation D</w:t>
      </w:r>
      <w:r>
        <w:rPr>
          <w:rFonts w:ascii="Times New Roman" w:hAnsi="Times New Roman" w:eastAsia="Times New Roman" w:cs="Times New Roman"/>
          <w:b w:val="0"/>
          <w:sz w:val="24"/>
        </w:rPr>
        <w:t>”), promulgated under the Securities Act of 1933, as amended (the “</w:t>
      </w:r>
      <w:r>
        <w:rPr>
          <w:rFonts w:ascii="Times New Roman" w:hAnsi="Times New Roman" w:eastAsia="Times New Roman" w:cs="Times New Roman"/>
          <w:b w:val="0"/>
          <w:sz w:val="24"/>
        </w:rPr>
        <w:t>Securities Act</w:t>
      </w:r>
      <w:r>
        <w:rPr>
          <w:rFonts w:ascii="Times New Roman" w:hAnsi="Times New Roman" w:eastAsia="Times New Roman" w:cs="Times New Roman"/>
          <w:b w:val="0"/>
          <w:sz w:val="24"/>
        </w:rPr>
        <w:t xml:space="preserve">”), the undersigned hereby certifies that it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that term is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based on the following marked category (or categories):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of the Securities Act,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savings and loan association or other institution as defined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)(5)(</w:t>
      </w:r>
      <w:r>
        <w:rPr>
          <w:rFonts w:ascii="Times New Roman" w:hAnsi="Times New Roman" w:eastAsia="Times New Roman" w:cs="Times New Roman"/>
          <w:b/>
          <w:sz w:val="24"/>
        </w:rPr>
        <w:t>A</w:t>
      </w:r>
      <w:r>
        <w:rPr>
          <w:rFonts w:ascii="Times New Roman" w:hAnsi="Times New Roman" w:eastAsia="Times New Roman" w:cs="Times New Roman"/>
          <w:b w:val="0"/>
          <w:sz w:val="24"/>
        </w:rPr>
        <w:t>) of the Securities Act whether acting in its individual or fiduciary capacity.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dealer registered pursuant to Section 15 of the Securities Exchange Act of 1934, as amended.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registered pursuant to Section 203 of the Investment Advisers Act of 1940, as amended (the “</w:t>
      </w:r>
      <w:r>
        <w:rPr>
          <w:rFonts w:ascii="Times New Roman" w:hAnsi="Times New Roman" w:eastAsia="Times New Roman" w:cs="Times New Roman"/>
          <w:b w:val="0"/>
          <w:sz w:val="24"/>
        </w:rPr>
        <w:t>Investment Advisers Act</w:t>
      </w:r>
      <w:r>
        <w:rPr>
          <w:rFonts w:ascii="Times New Roman" w:hAnsi="Times New Roman" w:eastAsia="Times New Roman" w:cs="Times New Roman"/>
          <w:b w:val="0"/>
          <w:sz w:val="24"/>
        </w:rPr>
        <w:t xml:space="preserve">”) or registered pursuant to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relying on the exemption from registering with the Securities and Exchange Commission (the “</w:t>
      </w:r>
      <w:r>
        <w:rPr>
          <w:rFonts w:ascii="Times New Roman" w:hAnsi="Times New Roman" w:eastAsia="Times New Roman" w:cs="Times New Roman"/>
          <w:b w:val="0"/>
          <w:sz w:val="24"/>
        </w:rPr>
        <w:t>SEC</w:t>
      </w:r>
      <w:r>
        <w:rPr>
          <w:rFonts w:ascii="Times New Roman" w:hAnsi="Times New Roman" w:eastAsia="Times New Roman" w:cs="Times New Roman"/>
          <w:b w:val="0"/>
          <w:sz w:val="24"/>
        </w:rPr>
        <w:t>”) under Section 203(l) or (m) of the Investment Advisers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)(13) of the Securities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registered under the Investment Company Act of 1940, as amended (the “</w:t>
      </w:r>
      <w:r>
        <w:rPr>
          <w:rFonts w:ascii="Times New Roman" w:hAnsi="Times New Roman" w:eastAsia="Times New Roman" w:cs="Times New Roman"/>
          <w:b w:val="0"/>
          <w:sz w:val="24"/>
        </w:rPr>
        <w:t>Investment Company Act</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development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)(48) of the Investment Company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licensed by the U.S. Small Business Administration under Section 301(c) or (d) of the Small Business Investment Act of 1958.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Rural Business Investment Company as defined in Section 384A of the Consolidated Farm and Rural Development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established and maintained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its political subdivisions, or any agency or instrumentality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its political subdivisions, for the benefit of its employees, if such plan has total assets in excess of $5,000,000.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within the meaning of the Employee Retirement Income Security Act of 1974 (“</w:t>
      </w:r>
      <w:r>
        <w:rPr>
          <w:rFonts w:ascii="Times New Roman" w:hAnsi="Times New Roman" w:eastAsia="Times New Roman" w:cs="Times New Roman"/>
          <w:b w:val="0"/>
          <w:sz w:val="24"/>
        </w:rPr>
        <w:t>ERISA</w:t>
      </w:r>
      <w:r>
        <w:rPr>
          <w:rFonts w:ascii="Times New Roman" w:hAnsi="Times New Roman" w:eastAsia="Times New Roman" w:cs="Times New Roman"/>
          <w:b w:val="0"/>
          <w:sz w:val="24"/>
        </w:rPr>
        <w:t xml:space="preserve">”) if the investment decision is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fiduciary, as defined in Section 3(21) of ERISA, which is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savings and loan association, insurance company, or registered investment adviser, or if the employee benefit plan has total assets in excess of $5,000,000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self-directed plan, with investment decisions made solely by persons that are accredited investors.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business development company as defined in Section 202(</w:t>
      </w:r>
      <w:r>
        <w:rPr>
          <w:rFonts w:ascii="Times New Roman" w:hAnsi="Times New Roman" w:eastAsia="Times New Roman" w:cs="Times New Roman"/>
          <w:b/>
          <w:sz w:val="24"/>
        </w:rPr>
        <w:t>a</w:t>
      </w:r>
      <w:r>
        <w:rPr>
          <w:rFonts w:ascii="Times New Roman" w:hAnsi="Times New Roman" w:eastAsia="Times New Roman" w:cs="Times New Roman"/>
          <w:b w:val="0"/>
          <w:sz w:val="24"/>
        </w:rPr>
        <w:t>)(22) of the Investment Advisers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corporation, Massachusetts or similar business trust, partnership, or limited liability company not formed for the specific purpose of acquiring the securities offered, with total assets in excess of $5,000,000.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executive officer, or general partner of the issuer of the securities being offered or sold,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executive officer, or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that issuer.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whose individual net worth, or joint net worth with that person's spouse or spousal equivalent, exceeds $1,000,000, excluding the value of the individual’s primary residence.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income in excess of $200,000 in each of the two most recent years or joint income with that person's spouse or spousal equivalent in excess of $300,000 in each of those years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reaching the same income level in the current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total assets in excess of $5,000,000, not formed for the specific purpose of acquiring the securities offered, whose purchase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sophisticated person as described in Rule 506(b)(2)(ii).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 which all of the equity owners are accredited investors.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not listed above not formed for the specific purpose of acquiring the securities offered, owning investments in excess of $5,000,000.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holds in good standing one or more professional certifications or designations or credentials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educational institution that the SEC has designated as qualifying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for accredited investor status.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office (as defined in Rule 202(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)(11)(G)-1 under the Investment Advisers Act) with (1) assets under management over $5,000,000, (2) that is not formed specifically to acquire the securities offered, and (3) whose prospective investment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such knowledge and experience in financial and business matters that such family office can evaluate the merits and risks of the prospective investment.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client (as defined in Rule 202(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)(11)(G)-1 under the Investment Advisers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office meeting the requirements of Rule 501(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)(12) of Regulation D and whose prospective investment in the issuer is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such knowledge and experience in financial and business matters that such family office is capable of evaluating the merits and risks of the prospective investment.</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confirms that you may rely on the foregoing statements in connection with your [opinion to [Company] regarding the issuance of securities/private offering] pursuant to Rule 506 of Regulation D to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INVESTOR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[NAME OF INVESTOR],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