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b/>
          <w:sz w:val="24"/>
        </w:rPr>
        <w:t>EXECUTIVE EXEMPTION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[see minimum salary set forth in Drafting Note to Executive Exemption,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herein]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direct the work of two or more full-time employees, or their equivalent?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the authority to hire or fire other employees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employee does not have the ultimate authority to hire and fire,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alternative to Section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if the answers to the following two questions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also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in which the employee is employed, regardless of the type of business organization (e.g., corporation, partnership, or other)?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Administrative Exemption: Administrative Employees of Non-educational Establishments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[see minimum salary set forth in Drafting Note to Administrative Exemption,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herein]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Administrative Exemption: Administrative Employees of Educational Establishments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[see minimum salary set forth in Drafting Note to Administrative Exemption, Section B herein] per week (exclusive of board, lodging, or other facilities)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by which the employee is employed?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Learned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Creative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Teacher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teachers to qualify for the professional exemption, the answer to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Lawyer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lawyers to qualify for the professional exemption, the answer to the following question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 and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Medical Doctor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medical doctors to qualify for the professional exemption, the answer to one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outside sales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 will be paid by the client or customer?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computer professional,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 is the employee paid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$27.63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highly compensated employee to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highly compensated employee,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