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Expert Declaration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UNITED STATES DISTRICT COURT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____________________ </w:t>
      </w:r>
      <w:r>
        <w:rPr>
          <w:rFonts w:ascii="Times New Roman" w:hAnsi="Times New Roman" w:eastAsia="Times New Roman" w:cs="Times New Roman"/>
          <w:b/>
          <w:sz w:val="24"/>
        </w:rPr>
        <w:t>DISTRICT OF</w:t>
      </w:r>
      <w:r>
        <w:rPr>
          <w:rFonts w:ascii="Times New Roman" w:hAnsi="Times New Roman" w:eastAsia="Times New Roman" w:cs="Times New Roman"/>
          <w:b w:val="0"/>
          <w:sz w:val="24"/>
        </w:rPr>
        <w:t xml:space="preserve"> 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EXPERT REPORT OF [Expert's name] IN SUPPORT OF [Party's name] 'S MOTION FOR SUMMARY JUDGMENT OF INVALIDITY UNDER 35 U.S.C. § 103</w:t>
      </w:r>
    </w:p>
    <w:p>
      <w:pPr>
        <w:keepNext w:val="0"/>
        <w:spacing w:before="120" w:after="0" w:line="260" w:lineRule="exact"/>
        <w:ind w:left="720" w:right="0" w:firstLine="0"/>
        <w:jc w:val="left"/>
      </w:pPr>
      <w:r>
        <w:rPr>
          <w:rFonts w:ascii="Times New Roman" w:hAnsi="Times New Roman" w:eastAsia="Times New Roman" w:cs="Times New Roman"/>
          <w:b/>
          <w:sz w:val="24"/>
        </w:rPr>
        <w:t>TABLE OF CONTENTS</w:t>
      </w:r>
    </w:p>
    <w:p>
      <w:pPr>
        <w:keepNext w:val="0"/>
        <w:spacing w:before="200" w:after="0" w:line="260" w:lineRule="exact"/>
        <w:ind w:left="1080" w:right="0" w:firstLine="0"/>
        <w:jc w:val="both"/>
      </w:pPr>
      <w:r>
        <w:rPr>
          <w:rFonts w:ascii="Times New Roman" w:hAnsi="Times New Roman" w:eastAsia="Times New Roman" w:cs="Times New Roman"/>
          <w:b w:val="0"/>
          <w:sz w:val="24"/>
        </w:rPr>
        <w:t>BACKGROUND AND QUALIFICATIONS</w:t>
      </w:r>
    </w:p>
    <w:p>
      <w:pPr>
        <w:keepNext w:val="0"/>
        <w:spacing w:before="200" w:after="0" w:line="260" w:lineRule="exact"/>
        <w:ind w:left="1080" w:right="0" w:firstLine="0"/>
        <w:jc w:val="both"/>
      </w:pPr>
      <w:r>
        <w:rPr>
          <w:rFonts w:ascii="Times New Roman" w:hAnsi="Times New Roman" w:eastAsia="Times New Roman" w:cs="Times New Roman"/>
          <w:b w:val="0"/>
          <w:sz w:val="24"/>
        </w:rPr>
        <w:t>MATERIALS CONSIDERED AND ASSUMPTIONS MADE</w:t>
      </w:r>
    </w:p>
    <w:p>
      <w:pPr>
        <w:keepNext w:val="0"/>
        <w:spacing w:before="200" w:after="0" w:line="260" w:lineRule="exact"/>
        <w:ind w:left="1080" w:right="0" w:firstLine="0"/>
        <w:jc w:val="both"/>
      </w:pPr>
      <w:r>
        <w:rPr>
          <w:rFonts w:ascii="Times New Roman" w:hAnsi="Times New Roman" w:eastAsia="Times New Roman" w:cs="Times New Roman"/>
          <w:b w:val="0"/>
          <w:sz w:val="24"/>
        </w:rPr>
        <w:t>LEGAL PRINCIPLES FOR ANALYZING OBVIOUSNESS</w:t>
      </w:r>
    </w:p>
    <w:p>
      <w:pPr>
        <w:keepNext w:val="0"/>
        <w:spacing w:before="200" w:after="0" w:line="260" w:lineRule="exact"/>
        <w:ind w:left="1440" w:right="0" w:firstLine="0"/>
        <w:jc w:val="both"/>
      </w:pPr>
      <w:r>
        <w:rPr>
          <w:rFonts w:ascii="Times New Roman" w:hAnsi="Times New Roman" w:eastAsia="Times New Roman" w:cs="Times New Roman"/>
          <w:b w:val="0"/>
          <w:sz w:val="24"/>
        </w:rPr>
        <w:t>Fundamental Principles and Methodology</w:t>
      </w:r>
    </w:p>
    <w:p>
      <w:pPr>
        <w:keepNext w:val="0"/>
        <w:spacing w:before="200" w:after="0" w:line="260" w:lineRule="exact"/>
        <w:ind w:left="1440" w:right="0" w:firstLine="0"/>
        <w:jc w:val="both"/>
      </w:pPr>
      <w:r>
        <w:rPr>
          <w:rFonts w:ascii="Times New Roman" w:hAnsi="Times New Roman" w:eastAsia="Times New Roman" w:cs="Times New Roman"/>
          <w:b w:val="0"/>
          <w:sz w:val="24"/>
        </w:rPr>
        <w:t>Admitted Prior Art</w:t>
      </w:r>
    </w:p>
    <w:p>
      <w:pPr>
        <w:keepNext w:val="0"/>
        <w:spacing w:before="200" w:after="0" w:line="260" w:lineRule="exact"/>
        <w:ind w:left="1440" w:right="0" w:firstLine="0"/>
        <w:jc w:val="both"/>
      </w:pPr>
      <w:r>
        <w:rPr>
          <w:rFonts w:ascii="Times New Roman" w:hAnsi="Times New Roman" w:eastAsia="Times New Roman" w:cs="Times New Roman"/>
          <w:b w:val="0"/>
          <w:sz w:val="24"/>
        </w:rPr>
        <w:t>Analogous Art</w:t>
      </w:r>
    </w:p>
    <w:p>
      <w:pPr>
        <w:keepNext w:val="0"/>
        <w:spacing w:before="200" w:after="0" w:line="260" w:lineRule="exact"/>
        <w:ind w:left="1440" w:right="0" w:firstLine="0"/>
        <w:jc w:val="both"/>
      </w:pPr>
      <w:r>
        <w:rPr>
          <w:rFonts w:ascii="Times New Roman" w:hAnsi="Times New Roman" w:eastAsia="Times New Roman" w:cs="Times New Roman"/>
          <w:b w:val="0"/>
          <w:sz w:val="24"/>
        </w:rPr>
        <w:t>The Prior Art Analysis</w:t>
      </w:r>
    </w:p>
    <w:p>
      <w:pPr>
        <w:keepNext w:val="0"/>
        <w:spacing w:before="200" w:after="0" w:line="260" w:lineRule="exact"/>
        <w:ind w:left="1440" w:right="0" w:firstLine="0"/>
        <w:jc w:val="both"/>
      </w:pPr>
      <w:r>
        <w:rPr>
          <w:rFonts w:ascii="Times New Roman" w:hAnsi="Times New Roman" w:eastAsia="Times New Roman" w:cs="Times New Roman"/>
          <w:b w:val="0"/>
          <w:sz w:val="24"/>
        </w:rPr>
        <w:t>Combining or Modifying the Prior Art</w:t>
      </w:r>
    </w:p>
    <w:p>
      <w:pPr>
        <w:keepNext w:val="0"/>
        <w:spacing w:before="200" w:after="0" w:line="260" w:lineRule="exact"/>
        <w:ind w:left="1080" w:right="0" w:firstLine="0"/>
        <w:jc w:val="both"/>
      </w:pPr>
      <w:r>
        <w:rPr>
          <w:rFonts w:ascii="Times New Roman" w:hAnsi="Times New Roman" w:eastAsia="Times New Roman" w:cs="Times New Roman"/>
          <w:b w:val="0"/>
          <w:sz w:val="24"/>
        </w:rPr>
        <w:t>THE PATENT IN SUIT AND ITS PROSECUTION HISTORY</w:t>
      </w:r>
    </w:p>
    <w:p>
      <w:pPr>
        <w:keepNext w:val="0"/>
        <w:spacing w:before="200" w:after="0" w:line="260" w:lineRule="exact"/>
        <w:ind w:left="1440" w:right="0" w:firstLine="0"/>
        <w:jc w:val="both"/>
      </w:pPr>
      <w:r>
        <w:rPr>
          <w:rFonts w:ascii="Times New Roman" w:hAnsi="Times New Roman" w:eastAsia="Times New Roman" w:cs="Times New Roman"/>
          <w:b w:val="0"/>
          <w:sz w:val="24"/>
        </w:rPr>
        <w:t>The Patent Application as Originally Filed</w:t>
      </w:r>
    </w:p>
    <w:p>
      <w:pPr>
        <w:keepNext w:val="0"/>
        <w:spacing w:before="200" w:after="0" w:line="260" w:lineRule="exact"/>
        <w:ind w:left="1440" w:right="0" w:firstLine="0"/>
        <w:jc w:val="both"/>
      </w:pPr>
      <w:r>
        <w:rPr>
          <w:rFonts w:ascii="Times New Roman" w:hAnsi="Times New Roman" w:eastAsia="Times New Roman" w:cs="Times New Roman"/>
          <w:b w:val="0"/>
          <w:sz w:val="24"/>
        </w:rPr>
        <w:t>The Rejection of the Original Claims in View of the Prior Art</w:t>
      </w:r>
    </w:p>
    <w:p>
      <w:pPr>
        <w:keepNext w:val="0"/>
        <w:spacing w:before="200" w:after="0" w:line="260" w:lineRule="exact"/>
        <w:ind w:left="1440" w:right="0" w:firstLine="0"/>
        <w:jc w:val="both"/>
      </w:pPr>
      <w:r>
        <w:rPr>
          <w:rFonts w:ascii="Times New Roman" w:hAnsi="Times New Roman" w:eastAsia="Times New Roman" w:cs="Times New Roman"/>
          <w:b w:val="0"/>
          <w:sz w:val="24"/>
        </w:rPr>
        <w:t>Amendment of the Original Claims and Applicant's Arguments</w:t>
      </w:r>
    </w:p>
    <w:p>
      <w:pPr>
        <w:keepNext w:val="0"/>
        <w:spacing w:before="200" w:after="0" w:line="260" w:lineRule="exact"/>
        <w:ind w:left="1440" w:right="0" w:firstLine="0"/>
        <w:jc w:val="both"/>
      </w:pPr>
      <w:r>
        <w:rPr>
          <w:rFonts w:ascii="Times New Roman" w:hAnsi="Times New Roman" w:eastAsia="Times New Roman" w:cs="Times New Roman"/>
          <w:b w:val="0"/>
          <w:sz w:val="24"/>
        </w:rPr>
        <w:t>Allowance of the Amended Claims</w:t>
      </w:r>
    </w:p>
    <w:p>
      <w:pPr>
        <w:keepNext w:val="0"/>
        <w:spacing w:before="200" w:after="0" w:line="260" w:lineRule="exact"/>
        <w:ind w:left="1440" w:right="0" w:firstLine="0"/>
        <w:jc w:val="both"/>
      </w:pPr>
      <w:r>
        <w:rPr>
          <w:rFonts w:ascii="Times New Roman" w:hAnsi="Times New Roman" w:eastAsia="Times New Roman" w:cs="Times New Roman"/>
          <w:b w:val="0"/>
          <w:sz w:val="24"/>
        </w:rPr>
        <w:t>The Admitted Prior Art</w:t>
      </w:r>
    </w:p>
    <w:p>
      <w:pPr>
        <w:keepNext w:val="0"/>
        <w:spacing w:before="200" w:after="0" w:line="260" w:lineRule="exact"/>
        <w:ind w:left="1080" w:right="0" w:firstLine="0"/>
        <w:jc w:val="both"/>
      </w:pPr>
      <w:r>
        <w:rPr>
          <w:rFonts w:ascii="Times New Roman" w:hAnsi="Times New Roman" w:eastAsia="Times New Roman" w:cs="Times New Roman"/>
          <w:b w:val="0"/>
          <w:sz w:val="24"/>
        </w:rPr>
        <w:t>THE LEVEL OF ORDINARY SKILL IN THE ART</w:t>
      </w:r>
    </w:p>
    <w:p>
      <w:pPr>
        <w:keepNext w:val="0"/>
        <w:spacing w:before="200" w:after="0" w:line="260" w:lineRule="exact"/>
        <w:ind w:left="1080" w:right="0" w:firstLine="0"/>
        <w:jc w:val="both"/>
      </w:pPr>
      <w:r>
        <w:rPr>
          <w:rFonts w:ascii="Times New Roman" w:hAnsi="Times New Roman" w:eastAsia="Times New Roman" w:cs="Times New Roman"/>
          <w:b w:val="0"/>
          <w:sz w:val="24"/>
        </w:rPr>
        <w:t>THE PRIOR ART</w:t>
      </w:r>
    </w:p>
    <w:p>
      <w:pPr>
        <w:keepNext w:val="0"/>
        <w:spacing w:before="200" w:after="0" w:line="260" w:lineRule="exact"/>
        <w:ind w:left="1440" w:right="0" w:firstLine="0"/>
        <w:jc w:val="both"/>
      </w:pPr>
      <w:r>
        <w:rPr>
          <w:rFonts w:ascii="Times New Roman" w:hAnsi="Times New Roman" w:eastAsia="Times New Roman" w:cs="Times New Roman"/>
          <w:b w:val="0"/>
          <w:sz w:val="24"/>
        </w:rPr>
        <w:t>[Title of First Prior Art Reference]</w:t>
      </w:r>
    </w:p>
    <w:p>
      <w:pPr>
        <w:keepNext w:val="0"/>
        <w:spacing w:before="200" w:after="0" w:line="260" w:lineRule="exact"/>
        <w:ind w:left="1440" w:right="0" w:firstLine="0"/>
        <w:jc w:val="both"/>
      </w:pPr>
      <w:r>
        <w:rPr>
          <w:rFonts w:ascii="Times New Roman" w:hAnsi="Times New Roman" w:eastAsia="Times New Roman" w:cs="Times New Roman"/>
          <w:b w:val="0"/>
          <w:sz w:val="24"/>
        </w:rPr>
        <w:t>[Title of First Prior Art Reference] In Combination With [Title of Second Prior Art Reference]</w:t>
      </w:r>
    </w:p>
    <w:p>
      <w:pPr>
        <w:keepNext w:val="0"/>
        <w:spacing w:before="200" w:after="0" w:line="260" w:lineRule="exact"/>
        <w:ind w:left="1080" w:right="0" w:firstLine="0"/>
        <w:jc w:val="both"/>
      </w:pPr>
      <w:r>
        <w:rPr>
          <w:rFonts w:ascii="Times New Roman" w:hAnsi="Times New Roman" w:eastAsia="Times New Roman" w:cs="Times New Roman"/>
          <w:b w:val="0"/>
          <w:sz w:val="24"/>
        </w:rPr>
        <w:t>SECONDARY CONSIDERATIONS</w:t>
      </w:r>
    </w:p>
    <w:p>
      <w:pPr>
        <w:keepNext w:val="0"/>
        <w:spacing w:before="200" w:after="0" w:line="260" w:lineRule="exact"/>
        <w:ind w:left="1080" w:right="0" w:firstLine="0"/>
        <w:jc w:val="both"/>
      </w:pPr>
      <w:r>
        <w:rPr>
          <w:rFonts w:ascii="Times New Roman" w:hAnsi="Times New Roman" w:eastAsia="Times New Roman" w:cs="Times New Roman"/>
          <w:b w:val="0"/>
          <w:sz w:val="24"/>
        </w:rPr>
        <w:t>RESERVATION OF RIGHTS</w:t>
      </w:r>
    </w:p>
    <w:p>
      <w:pPr>
        <w:keepNext w:val="0"/>
        <w:spacing w:before="200" w:after="0" w:line="260" w:lineRule="exact"/>
        <w:ind w:left="720" w:right="0" w:firstLine="0"/>
        <w:jc w:val="both"/>
      </w:pPr>
      <w:r>
        <w:rPr>
          <w:rFonts w:ascii="Times New Roman" w:hAnsi="Times New Roman" w:eastAsia="Times New Roman" w:cs="Times New Roman"/>
          <w:b w:val="0"/>
          <w:sz w:val="24"/>
        </w:rPr>
        <w:t>I, [Expert's name], hereby declare as follows pursuant to 28 U.S.C. § 1746:</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submit this Declaration in support of [Party's Name] 'S Motion for Summary Judgment Of Invalidity Under 35 U.S.C. § 103.</w:t>
      </w:r>
    </w:p>
    <w:p>
      <w:pPr>
        <w:keepNext w:val="0"/>
        <w:spacing w:before="120" w:after="0" w:line="260" w:lineRule="exact"/>
        <w:ind w:left="1080" w:right="0" w:firstLine="0"/>
        <w:jc w:val="left"/>
      </w:pPr>
      <w:r>
        <w:rPr>
          <w:rFonts w:ascii="Times New Roman" w:hAnsi="Times New Roman" w:eastAsia="Times New Roman" w:cs="Times New Roman"/>
          <w:b/>
          <w:sz w:val="24"/>
        </w:rPr>
        <w:t>BACKGROUND AND QUALIFICATIONS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 am President and founder of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engineering and design consulting company based in [location]. I am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engineer with substantial experience in the design and development of [type of products] from conception through regulatory approval and manufacturing.</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 hold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[advanced degree] in Mechanical Engineering from [educational institution]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Bachelor of Science Degree in Mechanical Engineering from [educational institution]. I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licensed professional engineer in [state(s)].</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 am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Adjunct Professor at [educational institution], where I teach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course in [describe course].</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devices that I have designed or developed include, for example, [list devices]. I also have experience with other technology, including [description of technology].</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My curriculum vitae is attached and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publications that I have authored in the last ten years,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the patents granted to me, and the cases in which I have testified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at trial or deposition in the last four years.</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 have been asked to provide expert testimony on behalf of [Party name] in the above-captioned litigation as to United States Patent No. [Number of the asserted patent] ("the patent in suit") on the issue of the validity of the patent in suit under 35 U.S.C § 103, including the level of ordinary skill in the art to which the patent in suit pertains, the disclosures and teachings of the prior art, and the differences between the prior art and the asserted claims of the patent in suit.  If called upon to testify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judgment motion hearing or at trial, I expect to testify and provide opinions on the validity of the asserted patent claims under 35 U.S.C § 103 summarized in this declaration.</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 am being compensated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[$_____]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 My compensation is not in any way contingent upon the outcome of this litigation, and I have no financial stake in the outcome.</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who has been asked to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on the obviousness of the patent in suit, I understand that I am obliged to apply any pertinent legal principles. The legal principles that I have been asked to apply are set forth below.</w:t>
      </w:r>
    </w:p>
    <w:p>
      <w:pPr>
        <w:keepNext w:val="0"/>
        <w:spacing w:before="120" w:after="0" w:line="260" w:lineRule="exact"/>
        <w:ind w:left="1080" w:right="0" w:firstLine="0"/>
        <w:jc w:val="left"/>
      </w:pPr>
      <w:r>
        <w:rPr>
          <w:rFonts w:ascii="Times New Roman" w:hAnsi="Times New Roman" w:eastAsia="Times New Roman" w:cs="Times New Roman"/>
          <w:b/>
          <w:sz w:val="24"/>
        </w:rPr>
        <w:t>MATERIALS CONSIDERED AND ASSUMPTIONS MADE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preparing my analysis, I reviewed the following:</w:t>
      </w:r>
    </w:p>
    <w:p>
      <w:pPr>
        <w:keepNext w:val="0"/>
        <w:spacing w:before="200" w:after="0" w:line="260" w:lineRule="exact"/>
        <w:ind w:left="1800" w:right="0" w:firstLine="0"/>
        <w:jc w:val="both"/>
      </w:pPr>
      <w:r>
        <w:rPr>
          <w:rFonts w:ascii="Times New Roman" w:hAnsi="Times New Roman" w:eastAsia="Times New Roman" w:cs="Times New Roman"/>
          <w:b w:val="0"/>
          <w:sz w:val="24"/>
        </w:rPr>
        <w:t>• The patent in suit.</w:t>
      </w:r>
    </w:p>
    <w:p>
      <w:pPr>
        <w:keepNext w:val="0"/>
        <w:spacing w:before="200" w:after="0" w:line="260" w:lineRule="exact"/>
        <w:ind w:left="1800" w:right="0" w:firstLine="0"/>
        <w:jc w:val="both"/>
      </w:pPr>
      <w:r>
        <w:rPr>
          <w:rFonts w:ascii="Times New Roman" w:hAnsi="Times New Roman" w:eastAsia="Times New Roman" w:cs="Times New Roman"/>
          <w:b w:val="0"/>
          <w:sz w:val="24"/>
        </w:rPr>
        <w:t>• The prosecution history of the patent in suit.</w:t>
      </w:r>
    </w:p>
    <w:p>
      <w:pPr>
        <w:keepNext w:val="0"/>
        <w:spacing w:before="200" w:after="0" w:line="260" w:lineRule="exact"/>
        <w:ind w:left="1800" w:right="0" w:firstLine="0"/>
        <w:jc w:val="both"/>
      </w:pPr>
      <w:r>
        <w:rPr>
          <w:rFonts w:ascii="Times New Roman" w:hAnsi="Times New Roman" w:eastAsia="Times New Roman" w:cs="Times New Roman"/>
          <w:b w:val="0"/>
          <w:sz w:val="24"/>
        </w:rPr>
        <w:t>• Plaintiff's Disclosure of Asserted Claims and Preliminary Infringement Contentions.</w:t>
      </w:r>
    </w:p>
    <w:p>
      <w:pPr>
        <w:keepNext w:val="0"/>
        <w:spacing w:before="200" w:after="0" w:line="260" w:lineRule="exact"/>
        <w:ind w:left="1800" w:right="0" w:firstLine="0"/>
        <w:jc w:val="both"/>
      </w:pPr>
      <w:r>
        <w:rPr>
          <w:rFonts w:ascii="Times New Roman" w:hAnsi="Times New Roman" w:eastAsia="Times New Roman" w:cs="Times New Roman"/>
          <w:b w:val="0"/>
          <w:sz w:val="24"/>
        </w:rPr>
        <w:t>• Defendant's Non-Infringement, Patent Invalidity, and Patent Unenforceability Contentions.</w:t>
      </w:r>
    </w:p>
    <w:p>
      <w:pPr>
        <w:keepNext w:val="0"/>
        <w:spacing w:before="200" w:after="0" w:line="260" w:lineRule="exact"/>
        <w:ind w:left="1800" w:right="0" w:firstLine="0"/>
        <w:jc w:val="both"/>
      </w:pPr>
      <w:r>
        <w:rPr>
          <w:rFonts w:ascii="Times New Roman" w:hAnsi="Times New Roman" w:eastAsia="Times New Roman" w:cs="Times New Roman"/>
          <w:b w:val="0"/>
          <w:sz w:val="24"/>
        </w:rPr>
        <w:t>• The Court's claim construction order dated [date].</w:t>
      </w:r>
    </w:p>
    <w:p>
      <w:pPr>
        <w:keepNext w:val="0"/>
        <w:spacing w:before="200" w:after="0" w:line="260" w:lineRule="exact"/>
        <w:ind w:left="1800" w:right="0" w:firstLine="0"/>
        <w:jc w:val="both"/>
      </w:pPr>
      <w:r>
        <w:rPr>
          <w:rFonts w:ascii="Times New Roman" w:hAnsi="Times New Roman" w:eastAsia="Times New Roman" w:cs="Times New Roman"/>
          <w:b w:val="0"/>
          <w:sz w:val="24"/>
        </w:rPr>
        <w:t>• The following prior art references [titles of prior art references].</w:t>
      </w:r>
    </w:p>
    <w:p>
      <w:pPr>
        <w:keepNext w:val="0"/>
        <w:spacing w:before="200" w:after="0" w:line="260" w:lineRule="exact"/>
        <w:ind w:left="1800" w:right="0" w:firstLine="0"/>
        <w:jc w:val="both"/>
      </w:pPr>
      <w:r>
        <w:rPr>
          <w:rFonts w:ascii="Times New Roman" w:hAnsi="Times New Roman" w:eastAsia="Times New Roman" w:cs="Times New Roman"/>
          <w:b w:val="0"/>
          <w:sz w:val="24"/>
        </w:rPr>
        <w:t>• The expert reports of [names of experts]</w:t>
      </w:r>
    </w:p>
    <w:p>
      <w:pPr>
        <w:keepNext w:val="0"/>
        <w:spacing w:before="200" w:after="0" w:line="260" w:lineRule="exact"/>
        <w:ind w:left="1800" w:right="0" w:firstLine="0"/>
        <w:jc w:val="both"/>
      </w:pPr>
      <w:r>
        <w:rPr>
          <w:rFonts w:ascii="Times New Roman" w:hAnsi="Times New Roman" w:eastAsia="Times New Roman" w:cs="Times New Roman"/>
          <w:b w:val="0"/>
          <w:sz w:val="24"/>
        </w:rPr>
        <w:t>• The deposition testimony of [names of deponents]</w:t>
      </w:r>
    </w:p>
    <w:p>
      <w:pPr>
        <w:keepNext w:val="0"/>
        <w:spacing w:before="200" w:after="0" w:line="260" w:lineRule="exact"/>
        <w:ind w:left="1800" w:right="0" w:firstLine="0"/>
        <w:jc w:val="both"/>
      </w:pPr>
      <w:r>
        <w:rPr>
          <w:rFonts w:ascii="Times New Roman" w:hAnsi="Times New Roman" w:eastAsia="Times New Roman" w:cs="Times New Roman"/>
          <w:b w:val="0"/>
          <w:sz w:val="24"/>
        </w:rPr>
        <w:t>• [Other relevant material, e.g., documents produced in discovery]</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have been directed by counsel to make the following assumptions:</w:t>
      </w:r>
    </w:p>
    <w:p>
      <w:pPr>
        <w:keepNext w:val="0"/>
        <w:spacing w:before="200" w:after="0" w:line="260" w:lineRule="exact"/>
        <w:ind w:left="1800" w:right="0" w:firstLine="0"/>
        <w:jc w:val="both"/>
      </w:pPr>
      <w:r>
        <w:rPr>
          <w:rFonts w:ascii="Times New Roman" w:hAnsi="Times New Roman" w:eastAsia="Times New Roman" w:cs="Times New Roman"/>
          <w:b w:val="0"/>
          <w:sz w:val="24"/>
        </w:rPr>
        <w:t>• The relevant date for evaluating the obviousness of the asserted claims of the patent in suit is the effective filing date of the patent in suit.</w:t>
      </w:r>
    </w:p>
    <w:p>
      <w:pPr>
        <w:keepNext w:val="0"/>
        <w:spacing w:before="200" w:after="0" w:line="260" w:lineRule="exact"/>
        <w:ind w:left="1800" w:right="0" w:firstLine="0"/>
        <w:jc w:val="both"/>
      </w:pPr>
      <w:r>
        <w:rPr>
          <w:rFonts w:ascii="Times New Roman" w:hAnsi="Times New Roman" w:eastAsia="Times New Roman" w:cs="Times New Roman"/>
          <w:b w:val="0"/>
          <w:sz w:val="24"/>
        </w:rPr>
        <w:t>• The effective filing date of the patent in suit is [date]</w:t>
      </w:r>
    </w:p>
    <w:p>
      <w:pPr>
        <w:keepNext w:val="0"/>
        <w:spacing w:before="200" w:after="0" w:line="260" w:lineRule="exact"/>
        <w:ind w:left="1800" w:right="0" w:firstLine="0"/>
        <w:jc w:val="both"/>
      </w:pPr>
      <w:r>
        <w:rPr>
          <w:rFonts w:ascii="Times New Roman" w:hAnsi="Times New Roman" w:eastAsia="Times New Roman" w:cs="Times New Roman"/>
          <w:b w:val="0"/>
          <w:sz w:val="24"/>
        </w:rPr>
        <w:t>• The asserted claims of the patent in suit are: [Claim numbers]</w:t>
      </w:r>
    </w:p>
    <w:p>
      <w:pPr>
        <w:keepNext w:val="0"/>
        <w:spacing w:before="200" w:after="0" w:line="260" w:lineRule="exact"/>
        <w:ind w:left="1800" w:right="0" w:firstLine="0"/>
        <w:jc w:val="both"/>
      </w:pPr>
      <w:r>
        <w:rPr>
          <w:rFonts w:ascii="Times New Roman" w:hAnsi="Times New Roman" w:eastAsia="Times New Roman" w:cs="Times New Roman"/>
          <w:b w:val="0"/>
          <w:sz w:val="24"/>
        </w:rPr>
        <w:t>• The following claim limitations have the following meanings: [definitions of claim terms from the court's claim construction order or as agreed by the parties].</w:t>
      </w:r>
    </w:p>
    <w:p>
      <w:pPr>
        <w:keepNext w:val="0"/>
        <w:spacing w:before="200" w:after="0" w:line="260" w:lineRule="exact"/>
        <w:ind w:left="1800" w:right="0" w:firstLine="0"/>
        <w:jc w:val="both"/>
      </w:pPr>
      <w:r>
        <w:rPr>
          <w:rFonts w:ascii="Times New Roman" w:hAnsi="Times New Roman" w:eastAsia="Times New Roman" w:cs="Times New Roman"/>
          <w:b w:val="0"/>
          <w:sz w:val="24"/>
        </w:rPr>
        <w:t>• That the following items qualify as prior art to the patent in suit: [titles or identification of prior art on which the obviousness analysis is based].</w:t>
      </w:r>
    </w:p>
    <w:p>
      <w:pPr>
        <w:keepNext w:val="0"/>
        <w:spacing w:before="200" w:after="0" w:line="260" w:lineRule="exact"/>
        <w:ind w:left="1800" w:right="0" w:firstLine="0"/>
        <w:jc w:val="both"/>
      </w:pPr>
      <w:r>
        <w:rPr>
          <w:rFonts w:ascii="Times New Roman" w:hAnsi="Times New Roman" w:eastAsia="Times New Roman" w:cs="Times New Roman"/>
          <w:b w:val="0"/>
          <w:sz w:val="24"/>
        </w:rPr>
        <w:t>• The patent owner has admitted that the following limitations of claim [claim numbers] are found in the prior art, but contends that the prior art does not disclose or suggest the following limitations of claim [claim numbers]: [claim limitations that patent owner contends are not found in the prior art]</w:t>
      </w:r>
    </w:p>
    <w:p>
      <w:pPr>
        <w:keepNext w:val="0"/>
        <w:spacing w:before="200" w:after="0" w:line="260" w:lineRule="exact"/>
        <w:ind w:left="1800" w:right="0" w:firstLine="0"/>
        <w:jc w:val="both"/>
      </w:pPr>
      <w:r>
        <w:rPr>
          <w:rFonts w:ascii="Times New Roman" w:hAnsi="Times New Roman" w:eastAsia="Times New Roman" w:cs="Times New Roman"/>
          <w:b w:val="0"/>
          <w:sz w:val="24"/>
        </w:rPr>
        <w:t>• [Any other assumptions]</w:t>
      </w:r>
    </w:p>
    <w:p>
      <w:pPr>
        <w:keepNext w:val="0"/>
        <w:spacing w:before="120" w:after="0" w:line="260" w:lineRule="exact"/>
        <w:ind w:left="1080" w:right="0" w:firstLine="0"/>
        <w:jc w:val="left"/>
      </w:pPr>
      <w:r>
        <w:rPr>
          <w:rFonts w:ascii="Times New Roman" w:hAnsi="Times New Roman" w:eastAsia="Times New Roman" w:cs="Times New Roman"/>
          <w:b/>
          <w:sz w:val="24"/>
        </w:rPr>
        <w:t>LEGAL PRINCIPLES FOR ANALYZING OBVIOUSNESS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 understand that obviousness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question of law based on underlying factual findings, including the level of ordinary skill in the art, what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art reference teaches, and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 would have been motivated to combine prior art references. I further understand that my analysis may serve to assist the court in evaluating the underlying facts.</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am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expert and have not been asked to render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opinion. The statements of law recited below were provided by counsel. My analysis of obviousness is from the perspective and understanding of one of ordinary skill in the art.</w:t>
      </w:r>
    </w:p>
    <w:p>
      <w:pPr>
        <w:keepNext w:val="0"/>
        <w:spacing w:before="200" w:after="0" w:line="260" w:lineRule="exact"/>
        <w:ind w:left="1440" w:right="0" w:firstLine="0"/>
        <w:jc w:val="both"/>
      </w:pPr>
      <w:r>
        <w:rPr>
          <w:rFonts w:ascii="Times New Roman" w:hAnsi="Times New Roman" w:eastAsia="Times New Roman" w:cs="Times New Roman"/>
          <w:b/>
          <w:sz w:val="24"/>
        </w:rPr>
        <w:t>Fundamental Principles and Methodology</w:t>
      </w:r>
    </w:p>
    <w:p>
      <w:pPr>
        <w:keepNext w:val="0"/>
        <w:spacing w:before="120" w:after="0" w:line="260" w:lineRule="exact"/>
        <w:ind w:left="1800" w:right="0" w:firstLine="0"/>
        <w:jc w:val="left"/>
      </w:pPr>
      <w:r>
        <w:rPr>
          <w:rFonts w:ascii="Times New Roman" w:hAnsi="Times New Roman" w:eastAsia="Times New Roman" w:cs="Times New Roman"/>
          <w:b w:val="0"/>
          <w:sz w:val="24"/>
        </w:rPr>
        <w:t>14.</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35 U.S.C § 103 provides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claimed invention may not be obtained "if the differences between the claimed invention and the prior art are such that the claimed invention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would have been obvious before the effective filing date of the claimed invention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having ordinary skill in the art to which the claimed invention pertains."</w:t>
      </w:r>
    </w:p>
    <w:p>
      <w:pPr>
        <w:keepNext w:val="0"/>
        <w:spacing w:before="120" w:after="0" w:line="260" w:lineRule="exact"/>
        <w:ind w:left="1800" w:right="0" w:firstLine="0"/>
        <w:jc w:val="left"/>
      </w:pPr>
      <w:r>
        <w:rPr>
          <w:rFonts w:ascii="Times New Roman" w:hAnsi="Times New Roman" w:eastAsia="Times New Roman" w:cs="Times New Roman"/>
          <w:b w:val="0"/>
          <w:sz w:val="24"/>
        </w:rPr>
        <w:t>15.</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"Under § 103, the scope and content of the prior art are to be determined; differences between the prior art and the claims at issue are to be ascertained; and the level of ordinary skill in the pertinent art resolved. Against this background, the obviousness or nonobviousness of the subject matter is determined. Such secondary considerations as commercial success, long felt but unsolved needs, failure of others, etc., might be utilized to give light to the circumstances surrounding the origin of the subject matter sought to be patented. As indicia of obviousness or nonobviousness, these inquiries may have relevancy." Graham v. John Deere Co., 383 U.S. 1, 17-18 (1966) (internal citation omitted).</w:t>
      </w:r>
    </w:p>
    <w:p>
      <w:pPr>
        <w:keepNext w:val="0"/>
        <w:spacing w:before="120" w:after="0" w:line="260" w:lineRule="exact"/>
        <w:ind w:left="1800" w:right="0" w:firstLine="0"/>
        <w:jc w:val="left"/>
      </w:pPr>
      <w:r>
        <w:rPr>
          <w:rFonts w:ascii="Times New Roman" w:hAnsi="Times New Roman" w:eastAsia="Times New Roman" w:cs="Times New Roman"/>
          <w:b w:val="0"/>
          <w:sz w:val="24"/>
        </w:rPr>
        <w:t>16.</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first three Graham factors (the scope and content of the prior art, the differences between the prior art and the claims, and the level of ordinary skill in the art) are the elements necessary to show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prima facie case of obviousness. Transocean Offshore Deepwater Drilling, Inc. v. Maersk Drilling United States, Inc., 699 F.3d 1340, 1348–49 (Fed. Cir. 2012).</w:t>
      </w:r>
    </w:p>
    <w:p>
      <w:pPr>
        <w:keepNext w:val="0"/>
        <w:spacing w:before="120" w:after="0" w:line="260" w:lineRule="exact"/>
        <w:ind w:left="1800" w:right="0" w:firstLine="0"/>
        <w:jc w:val="left"/>
      </w:pPr>
      <w:r>
        <w:rPr>
          <w:rFonts w:ascii="Times New Roman" w:hAnsi="Times New Roman" w:eastAsia="Times New Roman" w:cs="Times New Roman"/>
          <w:b w:val="0"/>
          <w:sz w:val="24"/>
        </w:rPr>
        <w:t>17.</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establishment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prima facie case, however,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conclusion on the ultimate issue of obviousness. The 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prima facie case simply means that the party challenging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has presented evidence sufficient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fact or raise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presumption of obviousness unless disproved or rebutted. Transocean Offshore Deepwater Drilling, Inc. v. Maersk Drilling United States, Inc., 699 F.3d at 1348.</w:t>
      </w:r>
    </w:p>
    <w:p>
      <w:pPr>
        <w:keepNext w:val="0"/>
        <w:spacing w:before="120" w:after="0" w:line="260" w:lineRule="exact"/>
        <w:ind w:left="1800" w:right="0" w:firstLine="0"/>
        <w:jc w:val="left"/>
      </w:pPr>
      <w:r>
        <w:rPr>
          <w:rFonts w:ascii="Times New Roman" w:hAnsi="Times New Roman" w:eastAsia="Times New Roman" w:cs="Times New Roman"/>
          <w:b w:val="0"/>
          <w:sz w:val="24"/>
        </w:rPr>
        <w:t>18.</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combination of familiar elements according to known methods is likely to be obvious when it does no more than yield predictable results." KSR Int' l Co. v. Teleflex Inc., 550 U.S. 398, 415-16 (2007).</w:t>
      </w:r>
    </w:p>
    <w:p>
      <w:pPr>
        <w:keepNext w:val="0"/>
        <w:spacing w:before="120" w:after="0" w:line="260" w:lineRule="exact"/>
        <w:ind w:left="1800" w:right="0" w:firstLine="0"/>
        <w:jc w:val="left"/>
      </w:pPr>
      <w:r>
        <w:rPr>
          <w:rFonts w:ascii="Times New Roman" w:hAnsi="Times New Roman" w:eastAsia="Times New Roman" w:cs="Times New Roman"/>
          <w:b w:val="0"/>
          <w:sz w:val="24"/>
        </w:rPr>
        <w:t>19.</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 is available in one field of endeavor, design incentives and other market forces can prompt variations of it, either in the same field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one.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can implement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predictable variation, § 103 likely bars its patentability. For the same reason,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technique has been used to improve one device,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 would recognize that it would improve similar devices in the same way, using the technique is obvious unless its actual application is beyond his or her skill." KSR Int' l Co. v. Teleflex Inc., 550 U.S. at 417.</w:t>
      </w:r>
    </w:p>
    <w:p>
      <w:pPr>
        <w:keepNext w:val="0"/>
        <w:spacing w:before="120" w:after="0" w:line="260" w:lineRule="exact"/>
        <w:ind w:left="1800" w:right="0" w:firstLine="0"/>
        <w:jc w:val="left"/>
      </w:pPr>
      <w:r>
        <w:rPr>
          <w:rFonts w:ascii="Times New Roman" w:hAnsi="Times New Roman" w:eastAsia="Times New Roman" w:cs="Times New Roman"/>
          <w:b w:val="0"/>
          <w:sz w:val="24"/>
        </w:rPr>
        <w:t>20.</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"[I]t often may be the case that market demand, rather than scientific literature, will drive design trends. Granting patent protection to advances that would occur in the ordinary course without real innovation retards progress and may, in the case of patents combining previously known elements, deprive prior inventions of their value or utility." KSR Int' l Co. v. Teleflex Inc., 550 U.S. at 419.</w:t>
      </w:r>
    </w:p>
    <w:p>
      <w:pPr>
        <w:keepNext w:val="0"/>
        <w:spacing w:before="200" w:after="0" w:line="260" w:lineRule="exact"/>
        <w:ind w:left="1440" w:right="0" w:firstLine="0"/>
        <w:jc w:val="both"/>
      </w:pPr>
      <w:r>
        <w:rPr>
          <w:rFonts w:ascii="Times New Roman" w:hAnsi="Times New Roman" w:eastAsia="Times New Roman" w:cs="Times New Roman"/>
          <w:b/>
          <w:sz w:val="24"/>
        </w:rPr>
        <w:t>Admitted Prior Art</w:t>
      </w:r>
    </w:p>
    <w:p>
      <w:pPr>
        <w:keepNext w:val="0"/>
        <w:spacing w:before="120" w:after="0" w:line="260" w:lineRule="exact"/>
        <w:ind w:left="1800" w:right="0" w:firstLine="0"/>
        <w:jc w:val="left"/>
      </w:pPr>
      <w:r>
        <w:rPr>
          <w:rFonts w:ascii="Times New Roman" w:hAnsi="Times New Roman" w:eastAsia="Times New Roman" w:cs="Times New Roman"/>
          <w:b w:val="0"/>
          <w:sz w:val="24"/>
        </w:rPr>
        <w:t>21.</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applicant identifies as prior art subject matter other than the work of the inventor, the applicant is deemed to have admitted that the subject matter is prior art, regardless of whether it would otherwise qualify as prior art. See Riverwood Int'l Corp. v. R. </w:t>
      </w:r>
      <w:r>
        <w:rPr>
          <w:rFonts w:ascii="Times New Roman" w:hAnsi="Times New Roman" w:eastAsia="Times New Roman" w:cs="Times New Roman"/>
          <w:b/>
          <w:sz w:val="24"/>
        </w:rPr>
        <w:t>A</w:t>
      </w:r>
      <w:r>
        <w:rPr>
          <w:rFonts w:ascii="Times New Roman" w:hAnsi="Times New Roman" w:eastAsia="Times New Roman" w:cs="Times New Roman"/>
          <w:b w:val="0"/>
          <w:sz w:val="24"/>
        </w:rPr>
        <w:t>. Jones &amp; Co., 324 F.3d 1346, 1353–55 (Fed. Cir. 2003).</w:t>
      </w:r>
    </w:p>
    <w:p>
      <w:pPr>
        <w:keepNext w:val="0"/>
        <w:spacing w:before="120" w:after="0" w:line="260" w:lineRule="exact"/>
        <w:ind w:left="1800" w:right="0" w:firstLine="0"/>
        <w:jc w:val="left"/>
      </w:pPr>
      <w:r>
        <w:rPr>
          <w:rFonts w:ascii="Times New Roman" w:hAnsi="Times New Roman" w:eastAsia="Times New Roman" w:cs="Times New Roman"/>
          <w:b w:val="0"/>
          <w:sz w:val="24"/>
        </w:rPr>
        <w:t>22.</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that something is in the prior art is binding on the applicant and patentee for determinations of anticipation and obviousness." Constant v. Advanced Micro-Devices, Inc., 848 F.2d 1560, 1570 (Fed. Cir. 1988).</w:t>
      </w:r>
    </w:p>
    <w:p>
      <w:pPr>
        <w:keepNext w:val="0"/>
        <w:spacing w:before="200" w:after="0" w:line="260" w:lineRule="exact"/>
        <w:ind w:left="1440" w:right="0" w:firstLine="0"/>
        <w:jc w:val="both"/>
      </w:pPr>
      <w:r>
        <w:rPr>
          <w:rFonts w:ascii="Times New Roman" w:hAnsi="Times New Roman" w:eastAsia="Times New Roman" w:cs="Times New Roman"/>
          <w:b/>
          <w:sz w:val="24"/>
        </w:rPr>
        <w:t>Analogous Art</w:t>
      </w:r>
    </w:p>
    <w:p>
      <w:pPr>
        <w:keepNext w:val="0"/>
        <w:spacing w:before="120" w:after="0" w:line="260" w:lineRule="exact"/>
        <w:ind w:left="1800" w:right="0" w:firstLine="0"/>
        <w:jc w:val="left"/>
      </w:pPr>
      <w:r>
        <w:rPr>
          <w:rFonts w:ascii="Times New Roman" w:hAnsi="Times New Roman" w:eastAsia="Times New Roman" w:cs="Times New Roman"/>
          <w:b w:val="0"/>
          <w:sz w:val="24"/>
        </w:rPr>
        <w:t>23.</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qualifies as analogous prior art if: (1) It is from the same field of endeavor as the invention (regardless of whether it addresses the same problem as the invention), or (2) it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field but is still reasonably pertinent to the problem addressed by the invention. Apple Inc. v. Samsung Elecs. Co., 816 F.3d 788, 802 (Fed. Cir. 2016). In re ICON Health and Fitness, Inc., 496 F. 3d 1374, 1379–80 (Fed. Cir. 2007).</w:t>
      </w:r>
    </w:p>
    <w:p>
      <w:pPr>
        <w:keepNext w:val="0"/>
        <w:spacing w:before="200" w:after="0" w:line="260" w:lineRule="exact"/>
        <w:ind w:left="1440" w:right="0" w:firstLine="0"/>
        <w:jc w:val="both"/>
      </w:pPr>
      <w:r>
        <w:rPr>
          <w:rFonts w:ascii="Times New Roman" w:hAnsi="Times New Roman" w:eastAsia="Times New Roman" w:cs="Times New Roman"/>
          <w:b/>
          <w:sz w:val="24"/>
        </w:rPr>
        <w:t>The Prior Art Analysis</w:t>
      </w:r>
    </w:p>
    <w:p>
      <w:pPr>
        <w:keepNext w:val="0"/>
        <w:spacing w:before="120" w:after="0" w:line="260" w:lineRule="exact"/>
        <w:ind w:left="1800" w:right="0" w:firstLine="0"/>
        <w:jc w:val="left"/>
      </w:pPr>
      <w:r>
        <w:rPr>
          <w:rFonts w:ascii="Times New Roman" w:hAnsi="Times New Roman" w:eastAsia="Times New Roman" w:cs="Times New Roman"/>
          <w:b w:val="0"/>
          <w:sz w:val="24"/>
        </w:rPr>
        <w:t>24.</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obviousness analysis, prior art should be viewed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Takeda Chem. Indus., Ltd. v. Alphapharm Pty., Ltd., 492 F.3d 1350, 1358 (Fed. Cir. 2007).</w:t>
      </w:r>
    </w:p>
    <w:p>
      <w:pPr>
        <w:keepNext w:val="0"/>
        <w:spacing w:before="120" w:after="0" w:line="260" w:lineRule="exact"/>
        <w:ind w:left="1800" w:right="0" w:firstLine="0"/>
        <w:jc w:val="left"/>
      </w:pPr>
      <w:r>
        <w:rPr>
          <w:rFonts w:ascii="Times New Roman" w:hAnsi="Times New Roman" w:eastAsia="Times New Roman" w:cs="Times New Roman"/>
          <w:b w:val="0"/>
          <w:sz w:val="24"/>
        </w:rPr>
        <w:t>25.</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must be considered for everything it teaches by way of technology and is not limited to the particular invention it is describing and attempting to protect." EWP Corp. v. Reliance Universal Inc., 755 F.2d 898, 907 (Fed. Cir. 1985).</w:t>
      </w:r>
    </w:p>
    <w:p>
      <w:pPr>
        <w:keepNext w:val="0"/>
        <w:spacing w:before="120" w:after="0" w:line="260" w:lineRule="exact"/>
        <w:ind w:left="1800" w:right="0" w:firstLine="0"/>
        <w:jc w:val="left"/>
      </w:pPr>
      <w:r>
        <w:rPr>
          <w:rFonts w:ascii="Times New Roman" w:hAnsi="Times New Roman" w:eastAsia="Times New Roman" w:cs="Times New Roman"/>
          <w:b w:val="0"/>
          <w:sz w:val="24"/>
        </w:rPr>
        <w:t>26.</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For purposes of assessing obviousness, the hypothetical person of ordinary skill in the art is presumed to know all of the teachings of the prior art in the field of the invention as of the filing date. In re Rouffet, 149 F.3d 1350, 1357 (Fed. Cir. 1998).</w:t>
      </w:r>
    </w:p>
    <w:p>
      <w:pPr>
        <w:keepNext w:val="0"/>
        <w:spacing w:before="200" w:after="0" w:line="260" w:lineRule="exact"/>
        <w:ind w:left="1440" w:right="0" w:firstLine="0"/>
        <w:jc w:val="both"/>
      </w:pPr>
      <w:r>
        <w:rPr>
          <w:rFonts w:ascii="Times New Roman" w:hAnsi="Times New Roman" w:eastAsia="Times New Roman" w:cs="Times New Roman"/>
          <w:b/>
          <w:sz w:val="24"/>
        </w:rPr>
        <w:t>Combining or Modifying the Prior Art</w:t>
      </w:r>
    </w:p>
    <w:p>
      <w:pPr>
        <w:keepNext w:val="0"/>
        <w:spacing w:before="120" w:after="0" w:line="260" w:lineRule="exact"/>
        <w:ind w:left="1800" w:right="0" w:firstLine="0"/>
        <w:jc w:val="left"/>
      </w:pPr>
      <w:r>
        <w:rPr>
          <w:rFonts w:ascii="Times New Roman" w:hAnsi="Times New Roman" w:eastAsia="Times New Roman" w:cs="Times New Roman"/>
          <w:b w:val="0"/>
          <w:sz w:val="24"/>
        </w:rPr>
        <w:t>27.</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"Determining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claimed combination would have been obvious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skilled artisan requires consideration of all the facts, no one of which is dispositive. The prior art, skill, and knowledge of the ordinarily skilled artisan may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motivation or reason to combine." Arctic Cat Inc. v. Bombardier Rec. Prods., 876 F.3d 1350, 1360 (Fed. Cir. 2017).</w:t>
      </w:r>
    </w:p>
    <w:p>
      <w:pPr>
        <w:keepNext w:val="0"/>
        <w:spacing w:before="120" w:after="0" w:line="260" w:lineRule="exact"/>
        <w:ind w:left="1800" w:right="0" w:firstLine="0"/>
        <w:jc w:val="left"/>
      </w:pPr>
      <w:r>
        <w:rPr>
          <w:rFonts w:ascii="Times New Roman" w:hAnsi="Times New Roman" w:eastAsia="Times New Roman" w:cs="Times New Roman"/>
          <w:b w:val="0"/>
          <w:sz w:val="24"/>
        </w:rPr>
        <w:t>28.</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"Under the correct analysis, any need or problem known in the field of endeavor at the time of invention and addressed by the patent can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 for combining the elements in the manner claimed." KSR Int' l Co. v. Teleflex Inc., 550 U.S. at 420 (internal citations omitted).</w:t>
      </w:r>
    </w:p>
    <w:p>
      <w:pPr>
        <w:keepNext w:val="0"/>
        <w:spacing w:before="120" w:after="0" w:line="260" w:lineRule="exact"/>
        <w:ind w:left="1800" w:right="0" w:firstLine="0"/>
        <w:jc w:val="left"/>
      </w:pPr>
      <w:r>
        <w:rPr>
          <w:rFonts w:ascii="Times New Roman" w:hAnsi="Times New Roman" w:eastAsia="Times New Roman" w:cs="Times New Roman"/>
          <w:b w:val="0"/>
          <w:sz w:val="24"/>
        </w:rPr>
        <w:t>29.</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error to assume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attempting to solve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problem will be led only to those elements of prior art designed to solve the same problem . . . Common sense teaches, however, that familiar items may have obvious uses beyond their primary purposes, and in many cases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will be able to fit the teachings of multiple patents together like pieces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puzzle . .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creativity,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automaton." KSR Int' l Co. v. Teleflex Inc., 550 U.S. at 420-21.</w:t>
      </w:r>
    </w:p>
    <w:p>
      <w:pPr>
        <w:keepNext w:val="0"/>
        <w:spacing w:before="120" w:after="0" w:line="260" w:lineRule="exact"/>
        <w:ind w:left="1800" w:right="0" w:firstLine="0"/>
        <w:jc w:val="left"/>
      </w:pPr>
      <w:r>
        <w:rPr>
          <w:rFonts w:ascii="Times New Roman" w:hAnsi="Times New Roman" w:eastAsia="Times New Roman" w:cs="Times New Roman"/>
          <w:b w:val="0"/>
          <w:sz w:val="24"/>
        </w:rPr>
        <w:t>30.</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motivation to combine can be found explicitly or implicitly in the prior art references themselves, in market forces, in design incentives, or in 'any need or problem known in the field of endeavor at the time of invention and addressed by the patent.'" Arctic Cat Inc. v. Bombardier Rec. Prods., 876 F.3d at 1359 (quoting KSR, 550 U.S. at 420-21).</w:t>
      </w:r>
    </w:p>
    <w:p>
      <w:pPr>
        <w:keepNext w:val="0"/>
        <w:spacing w:before="120" w:after="0" w:line="260" w:lineRule="exact"/>
        <w:ind w:left="1800" w:right="0" w:firstLine="0"/>
        <w:jc w:val="left"/>
      </w:pPr>
      <w:r>
        <w:rPr>
          <w:rFonts w:ascii="Times New Roman" w:hAnsi="Times New Roman" w:eastAsia="Times New Roman" w:cs="Times New Roman"/>
          <w:b w:val="0"/>
          <w:sz w:val="24"/>
        </w:rPr>
        <w:t>31.</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In combining references or modifying the prior art, the correct legal standard for obviousness does not require 'absolute predictability,' but rather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expectation of success.' Soft Gel Techs., Inc. v. Jarrow Formulas, Inc., 864 F.3d 1334, 1342 (Fed. Cir. 2017).</w:t>
      </w:r>
    </w:p>
    <w:p>
      <w:pPr>
        <w:keepNext w:val="0"/>
        <w:spacing w:before="120" w:after="0" w:line="260" w:lineRule="exact"/>
        <w:ind w:left="1800" w:right="0" w:firstLine="0"/>
        <w:jc w:val="left"/>
      </w:pPr>
      <w:r>
        <w:rPr>
          <w:rFonts w:ascii="Times New Roman" w:hAnsi="Times New Roman" w:eastAsia="Times New Roman" w:cs="Times New Roman"/>
          <w:b w:val="0"/>
          <w:sz w:val="24"/>
        </w:rPr>
        <w:t>32.</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"[I]n appropriate circumstances,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can be obvious in light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prior art reference if it would have been obvious to modify that reference to arrive at the patented invention." Arendi S.</w:t>
      </w:r>
      <w:r>
        <w:rPr>
          <w:rFonts w:ascii="Times New Roman" w:hAnsi="Times New Roman" w:eastAsia="Times New Roman" w:cs="Times New Roman"/>
          <w:b/>
          <w:sz w:val="24"/>
        </w:rPr>
        <w:t>A</w:t>
      </w:r>
      <w:r>
        <w:rPr>
          <w:rFonts w:ascii="Times New Roman" w:hAnsi="Times New Roman" w:eastAsia="Times New Roman" w:cs="Times New Roman"/>
          <w:b w:val="0"/>
          <w:sz w:val="24"/>
        </w:rPr>
        <w:t>.R.L. v. Apple Inc., 832 F.3d 1355, 1361 (Fed. Cir. 2016) (citations omitted).</w:t>
      </w:r>
    </w:p>
    <w:p>
      <w:pPr>
        <w:keepNext w:val="0"/>
        <w:spacing w:before="120" w:after="0" w:line="260" w:lineRule="exact"/>
        <w:ind w:left="1080" w:right="0" w:firstLine="0"/>
        <w:jc w:val="left"/>
      </w:pPr>
      <w:r>
        <w:rPr>
          <w:rFonts w:ascii="Times New Roman" w:hAnsi="Times New Roman" w:eastAsia="Times New Roman" w:cs="Times New Roman"/>
          <w:b/>
          <w:sz w:val="24"/>
        </w:rPr>
        <w:t>THE PATENT IN SUIT AND ITS PROSECUTION HISTORY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type of technology at issue relates to [information on the type of technology at issue sufficient to enable the court to understand the patent and the prior art].</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patent in suit (annexed as Exhibit [exhibit number] to the [attorney's name] Declaration) is directed to [describe the claimed invention].</w:t>
      </w:r>
    </w:p>
    <w:p>
      <w:pPr>
        <w:keepNext w:val="0"/>
        <w:spacing w:before="120" w:after="0" w:line="260" w:lineRule="exact"/>
        <w:ind w:left="1440" w:right="0" w:firstLine="0"/>
        <w:jc w:val="left"/>
      </w:pPr>
      <w:r>
        <w:rPr>
          <w:rFonts w:ascii="Times New Roman" w:hAnsi="Times New Roman" w:eastAsia="Times New Roman" w:cs="Times New Roman"/>
          <w:b w:val="0"/>
          <w:sz w:val="24"/>
        </w:rPr>
        <w:t>35.</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following asserted claims are at issue: [recite the claims].</w:t>
      </w:r>
    </w:p>
    <w:p>
      <w:pPr>
        <w:keepNext w:val="0"/>
        <w:spacing w:before="120" w:after="0" w:line="260" w:lineRule="exact"/>
        <w:ind w:left="1440" w:right="0" w:firstLine="0"/>
        <w:jc w:val="left"/>
      </w:pPr>
      <w:r>
        <w:rPr>
          <w:rFonts w:ascii="Times New Roman" w:hAnsi="Times New Roman" w:eastAsia="Times New Roman" w:cs="Times New Roman"/>
          <w:b w:val="0"/>
          <w:sz w:val="24"/>
        </w:rPr>
        <w:t>36.</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following claim limitations are of particular importance: [recite the claim limitations that are most important to the expert's obviousness analysis (e.g., the limitations that the patent owner asserts distinguish the invention over the prior art)].</w:t>
      </w:r>
    </w:p>
    <w:p>
      <w:pPr>
        <w:keepNext w:val="0"/>
        <w:spacing w:before="120" w:after="0" w:line="260" w:lineRule="exact"/>
        <w:ind w:left="1440" w:right="0" w:firstLine="0"/>
        <w:jc w:val="left"/>
      </w:pPr>
      <w:r>
        <w:rPr>
          <w:rFonts w:ascii="Times New Roman" w:hAnsi="Times New Roman" w:eastAsia="Times New Roman" w:cs="Times New Roman"/>
          <w:b w:val="0"/>
          <w:sz w:val="24"/>
        </w:rPr>
        <w:t>37.</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written description teaches as follows: [Summarize or quote any pertinent parts of the written description, including any description of the problem solved by the invention, and include the patent column and line numbers].</w:t>
      </w:r>
    </w:p>
    <w:p>
      <w:pPr>
        <w:keepNext w:val="0"/>
        <w:spacing w:before="200" w:after="0" w:line="260" w:lineRule="exact"/>
        <w:ind w:left="1440" w:right="0" w:firstLine="0"/>
        <w:jc w:val="both"/>
      </w:pPr>
      <w:r>
        <w:rPr>
          <w:rFonts w:ascii="Times New Roman" w:hAnsi="Times New Roman" w:eastAsia="Times New Roman" w:cs="Times New Roman"/>
          <w:b/>
          <w:sz w:val="24"/>
        </w:rPr>
        <w:t>The Patent Application as Originally Filed</w:t>
      </w:r>
    </w:p>
    <w:p>
      <w:pPr>
        <w:keepNext w:val="0"/>
        <w:spacing w:before="120" w:after="0" w:line="260" w:lineRule="exact"/>
        <w:ind w:left="1800" w:right="0" w:firstLine="0"/>
        <w:jc w:val="left"/>
      </w:pPr>
      <w:r>
        <w:rPr>
          <w:rFonts w:ascii="Times New Roman" w:hAnsi="Times New Roman" w:eastAsia="Times New Roman" w:cs="Times New Roman"/>
          <w:b w:val="0"/>
          <w:sz w:val="24"/>
        </w:rPr>
        <w:t>38.</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Pertinent excerpts from the file history are annexed to the [attorney name] declaration as Exhibit [exhibit number].</w:t>
      </w:r>
    </w:p>
    <w:p>
      <w:pPr>
        <w:keepNext w:val="0"/>
        <w:spacing w:before="120" w:after="0" w:line="260" w:lineRule="exact"/>
        <w:ind w:left="1800" w:right="0" w:firstLine="0"/>
        <w:jc w:val="left"/>
      </w:pPr>
      <w:r>
        <w:rPr>
          <w:rFonts w:ascii="Times New Roman" w:hAnsi="Times New Roman" w:eastAsia="Times New Roman" w:cs="Times New Roman"/>
          <w:b w:val="0"/>
          <w:sz w:val="24"/>
        </w:rPr>
        <w:t>39.</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application for the patent in suit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continuation of U.S. Patent Application Serial No. [number] filed on [date],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continuation of U.S. Patent Application Serial No. [number] filed on [date], which claims the benefit of U.S. Provisional Patent Application Serial No. [number] filed on [date].</w:t>
      </w:r>
    </w:p>
    <w:p>
      <w:pPr>
        <w:keepNext w:val="0"/>
        <w:spacing w:before="120" w:after="0" w:line="260" w:lineRule="exact"/>
        <w:ind w:left="1800" w:right="0" w:firstLine="0"/>
        <w:jc w:val="left"/>
      </w:pPr>
      <w:r>
        <w:rPr>
          <w:rFonts w:ascii="Times New Roman" w:hAnsi="Times New Roman" w:eastAsia="Times New Roman" w:cs="Times New Roman"/>
          <w:b w:val="0"/>
          <w:sz w:val="24"/>
        </w:rPr>
        <w:t>40.</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claims as originally filed read as follows: [Text of the claims as originally filed].</w:t>
      </w:r>
    </w:p>
    <w:p>
      <w:pPr>
        <w:keepNext w:val="0"/>
        <w:spacing w:before="200" w:after="0" w:line="260" w:lineRule="exact"/>
        <w:ind w:left="1440" w:right="0" w:firstLine="0"/>
        <w:jc w:val="both"/>
      </w:pPr>
      <w:r>
        <w:rPr>
          <w:rFonts w:ascii="Times New Roman" w:hAnsi="Times New Roman" w:eastAsia="Times New Roman" w:cs="Times New Roman"/>
          <w:b/>
          <w:sz w:val="24"/>
        </w:rPr>
        <w:t>The Rejection of the Original Claims in View of the Prior Art</w:t>
      </w:r>
    </w:p>
    <w:p>
      <w:pPr>
        <w:keepNext w:val="0"/>
        <w:spacing w:before="120" w:after="0" w:line="260" w:lineRule="exact"/>
        <w:ind w:left="1800" w:right="0" w:firstLine="0"/>
        <w:jc w:val="left"/>
      </w:pPr>
      <w:r>
        <w:rPr>
          <w:rFonts w:ascii="Times New Roman" w:hAnsi="Times New Roman" w:eastAsia="Times New Roman" w:cs="Times New Roman"/>
          <w:b w:val="0"/>
          <w:sz w:val="24"/>
        </w:rPr>
        <w:t>41.</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Action dated [date], the examiner rejected claims [claim numbers] through [claim number] as anticipated or obvious over [prior art reference], stating as follows: [quote examiner's reasoning].</w:t>
      </w:r>
    </w:p>
    <w:p>
      <w:pPr>
        <w:keepNext w:val="0"/>
        <w:spacing w:before="200" w:after="0" w:line="260" w:lineRule="exact"/>
        <w:ind w:left="1440" w:right="0" w:firstLine="0"/>
        <w:jc w:val="both"/>
      </w:pPr>
      <w:r>
        <w:rPr>
          <w:rFonts w:ascii="Times New Roman" w:hAnsi="Times New Roman" w:eastAsia="Times New Roman" w:cs="Times New Roman"/>
          <w:b/>
          <w:sz w:val="24"/>
        </w:rPr>
        <w:t>Amendment of the Original Claims and Applicant's Arguments</w:t>
      </w:r>
    </w:p>
    <w:p>
      <w:pPr>
        <w:keepNext w:val="0"/>
        <w:spacing w:before="120" w:after="0" w:line="260" w:lineRule="exact"/>
        <w:ind w:left="1800" w:right="0" w:firstLine="0"/>
        <w:jc w:val="left"/>
      </w:pPr>
      <w:r>
        <w:rPr>
          <w:rFonts w:ascii="Times New Roman" w:hAnsi="Times New Roman" w:eastAsia="Times New Roman" w:cs="Times New Roman"/>
          <w:b w:val="0"/>
          <w:sz w:val="24"/>
        </w:rPr>
        <w:t>42.</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applicant responded on [date of response], arguing that [arguments] and amending the claims as follows: [Text of amended claims].</w:t>
      </w:r>
    </w:p>
    <w:p>
      <w:pPr>
        <w:keepNext w:val="0"/>
        <w:spacing w:before="120" w:after="0" w:line="260" w:lineRule="exact"/>
        <w:ind w:left="1800" w:right="0" w:firstLine="0"/>
        <w:jc w:val="left"/>
      </w:pPr>
      <w:r>
        <w:rPr>
          <w:rFonts w:ascii="Times New Roman" w:hAnsi="Times New Roman" w:eastAsia="Times New Roman" w:cs="Times New Roman"/>
          <w:b w:val="0"/>
          <w:sz w:val="24"/>
        </w:rPr>
        <w:t>43.</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My review of the prosecution history also revealed the following statements made by the applicant relevant to my analysis: [Quote the relevant statements].</w:t>
      </w:r>
    </w:p>
    <w:p>
      <w:pPr>
        <w:keepNext w:val="0"/>
        <w:spacing w:before="120" w:after="0" w:line="260" w:lineRule="exact"/>
        <w:ind w:left="1800" w:right="0" w:firstLine="0"/>
        <w:jc w:val="left"/>
      </w:pPr>
      <w:r>
        <w:rPr>
          <w:rFonts w:ascii="Times New Roman" w:hAnsi="Times New Roman" w:eastAsia="Times New Roman" w:cs="Times New Roman"/>
          <w:b w:val="0"/>
          <w:sz w:val="24"/>
        </w:rPr>
        <w:t>44.</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At no time during the prosecution of the application that resulted in the patent in suit did the applicant dispute the examiner's findings that the prior disclosed all the elements of the original claims, except for the following: [any elements that the applicant contended were missing from the prior art cited by the examiner].</w:t>
      </w:r>
    </w:p>
    <w:p>
      <w:pPr>
        <w:keepNext w:val="0"/>
        <w:spacing w:before="200" w:after="0" w:line="260" w:lineRule="exact"/>
        <w:ind w:left="1440" w:right="0" w:firstLine="0"/>
        <w:jc w:val="both"/>
      </w:pPr>
      <w:r>
        <w:rPr>
          <w:rFonts w:ascii="Times New Roman" w:hAnsi="Times New Roman" w:eastAsia="Times New Roman" w:cs="Times New Roman"/>
          <w:b/>
          <w:sz w:val="24"/>
        </w:rPr>
        <w:t>Allowance of the Amended Claims</w:t>
      </w:r>
    </w:p>
    <w:p>
      <w:pPr>
        <w:keepNext w:val="0"/>
        <w:spacing w:before="120" w:after="0" w:line="260" w:lineRule="exact"/>
        <w:ind w:left="1800" w:right="0" w:firstLine="0"/>
        <w:jc w:val="left"/>
      </w:pPr>
      <w:r>
        <w:rPr>
          <w:rFonts w:ascii="Times New Roman" w:hAnsi="Times New Roman" w:eastAsia="Times New Roman" w:cs="Times New Roman"/>
          <w:b w:val="0"/>
          <w:sz w:val="24"/>
        </w:rPr>
        <w:t>45.</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On [date], the examiner allowed claims [allowed claim numbers], explaining that the claims were allowed because [examiner's explanation].</w:t>
      </w:r>
    </w:p>
    <w:p>
      <w:pPr>
        <w:keepNext w:val="0"/>
        <w:spacing w:before="200" w:after="0" w:line="260" w:lineRule="exact"/>
        <w:ind w:left="1440" w:right="0" w:firstLine="0"/>
        <w:jc w:val="both"/>
      </w:pPr>
      <w:r>
        <w:rPr>
          <w:rFonts w:ascii="Times New Roman" w:hAnsi="Times New Roman" w:eastAsia="Times New Roman" w:cs="Times New Roman"/>
          <w:b/>
          <w:sz w:val="24"/>
        </w:rPr>
        <w:t>The Admitted Prior Art</w:t>
      </w:r>
    </w:p>
    <w:p>
      <w:pPr>
        <w:keepNext w:val="0"/>
        <w:spacing w:before="120" w:after="0" w:line="260" w:lineRule="exact"/>
        <w:ind w:left="1800" w:right="0" w:firstLine="0"/>
        <w:jc w:val="left"/>
      </w:pPr>
      <w:r>
        <w:rPr>
          <w:rFonts w:ascii="Times New Roman" w:hAnsi="Times New Roman" w:eastAsia="Times New Roman" w:cs="Times New Roman"/>
          <w:b w:val="0"/>
          <w:sz w:val="24"/>
        </w:rPr>
        <w:t>46.</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applicant made the following admissions as to the content of the prior art: [Describe]. In addition, the patent and original patent application reveal the following admitted prior art: [title of admitted prior art reference or description of admitted prior art]. In particular, the patent specification ([column and line numbers]) explains the state of the art as follows: [Describe].</w:t>
      </w:r>
    </w:p>
    <w:p>
      <w:pPr>
        <w:keepNext w:val="0"/>
        <w:spacing w:before="120" w:after="0" w:line="260" w:lineRule="exact"/>
        <w:ind w:left="1080" w:right="0" w:firstLine="0"/>
        <w:jc w:val="left"/>
      </w:pPr>
      <w:r>
        <w:rPr>
          <w:rFonts w:ascii="Times New Roman" w:hAnsi="Times New Roman" w:eastAsia="Times New Roman" w:cs="Times New Roman"/>
          <w:b/>
          <w:sz w:val="24"/>
        </w:rPr>
        <w:t>THE LEVEL OF ORDINARY SKILL IN THE ART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47.</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Counsel informs 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hypothetical person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level of creativity, who is presumed to have known all the prior art that existed at the relevant date. I further understand that I may consider the following non-exhaustive list of factors in determining the level of ordinary skill in the art:</w:t>
      </w:r>
    </w:p>
    <w:p>
      <w:pPr>
        <w:keepNext w:val="0"/>
        <w:spacing w:before="200" w:after="0" w:line="260" w:lineRule="exact"/>
        <w:ind w:left="1800" w:right="0" w:firstLine="0"/>
        <w:jc w:val="both"/>
      </w:pPr>
      <w:r>
        <w:rPr>
          <w:rFonts w:ascii="Times New Roman" w:hAnsi="Times New Roman" w:eastAsia="Times New Roman" w:cs="Times New Roman"/>
          <w:b w:val="0"/>
          <w:sz w:val="24"/>
        </w:rPr>
        <w:t>• The educational level of the inventor</w:t>
      </w:r>
    </w:p>
    <w:p>
      <w:pPr>
        <w:keepNext w:val="0"/>
        <w:spacing w:before="200" w:after="0" w:line="260" w:lineRule="exact"/>
        <w:ind w:left="1800" w:right="0" w:firstLine="0"/>
        <w:jc w:val="both"/>
      </w:pPr>
      <w:r>
        <w:rPr>
          <w:rFonts w:ascii="Times New Roman" w:hAnsi="Times New Roman" w:eastAsia="Times New Roman" w:cs="Times New Roman"/>
          <w:b w:val="0"/>
          <w:sz w:val="24"/>
        </w:rPr>
        <w:t>• The type of problems encountered in the art</w:t>
      </w:r>
    </w:p>
    <w:p>
      <w:pPr>
        <w:keepNext w:val="0"/>
        <w:spacing w:before="200" w:after="0" w:line="260" w:lineRule="exact"/>
        <w:ind w:left="1800" w:right="0" w:firstLine="0"/>
        <w:jc w:val="both"/>
      </w:pPr>
      <w:r>
        <w:rPr>
          <w:rFonts w:ascii="Times New Roman" w:hAnsi="Times New Roman" w:eastAsia="Times New Roman" w:cs="Times New Roman"/>
          <w:b w:val="0"/>
          <w:sz w:val="24"/>
        </w:rPr>
        <w:t>• Prior art solutions to those problems</w:t>
      </w:r>
    </w:p>
    <w:p>
      <w:pPr>
        <w:keepNext w:val="0"/>
        <w:spacing w:before="200" w:after="0" w:line="260" w:lineRule="exact"/>
        <w:ind w:left="1800" w:right="0" w:firstLine="0"/>
        <w:jc w:val="both"/>
      </w:pPr>
      <w:r>
        <w:rPr>
          <w:rFonts w:ascii="Times New Roman" w:hAnsi="Times New Roman" w:eastAsia="Times New Roman" w:cs="Times New Roman"/>
          <w:b w:val="0"/>
          <w:sz w:val="24"/>
        </w:rPr>
        <w:t>• The rapidity with which innovations are made</w:t>
      </w:r>
    </w:p>
    <w:p>
      <w:pPr>
        <w:keepNext w:val="0"/>
        <w:spacing w:before="200" w:after="0" w:line="260" w:lineRule="exact"/>
        <w:ind w:left="1800" w:right="0" w:firstLine="0"/>
        <w:jc w:val="both"/>
      </w:pPr>
      <w:r>
        <w:rPr>
          <w:rFonts w:ascii="Times New Roman" w:hAnsi="Times New Roman" w:eastAsia="Times New Roman" w:cs="Times New Roman"/>
          <w:b w:val="0"/>
          <w:sz w:val="24"/>
        </w:rPr>
        <w:t>• The sophistication of the technology</w:t>
      </w:r>
    </w:p>
    <w:p>
      <w:pPr>
        <w:keepNext w:val="0"/>
        <w:spacing w:before="200" w:after="0" w:line="260" w:lineRule="exact"/>
        <w:ind w:left="1800" w:right="0" w:firstLine="0"/>
        <w:jc w:val="both"/>
      </w:pPr>
      <w:r>
        <w:rPr>
          <w:rFonts w:ascii="Times New Roman" w:hAnsi="Times New Roman" w:eastAsia="Times New Roman" w:cs="Times New Roman"/>
          <w:b w:val="0"/>
          <w:sz w:val="24"/>
        </w:rPr>
        <w:t>• The educational level of active workers in the field</w:t>
      </w:r>
    </w:p>
    <w:p>
      <w:pPr>
        <w:keepNext w:val="0"/>
        <w:spacing w:before="120" w:after="0" w:line="260" w:lineRule="exact"/>
        <w:ind w:left="1440" w:right="0" w:firstLine="0"/>
        <w:jc w:val="left"/>
      </w:pPr>
      <w:r>
        <w:rPr>
          <w:rFonts w:ascii="Times New Roman" w:hAnsi="Times New Roman" w:eastAsia="Times New Roman" w:cs="Times New Roman"/>
          <w:b w:val="0"/>
          <w:sz w:val="24"/>
        </w:rPr>
        <w:t>48.</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Based on the above-identified factors, in my opinion, one of ordinary skill in the art as of [effective filing date of the patent in suit] would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bachelor's degree in [relevant discipline] or equivalent technical degree and at least five years of experience in the field of [relevant technical field].</w:t>
      </w:r>
    </w:p>
    <w:p>
      <w:pPr>
        <w:keepNext w:val="0"/>
        <w:spacing w:before="120" w:after="0" w:line="260" w:lineRule="exact"/>
        <w:ind w:left="1440" w:right="0" w:firstLine="0"/>
        <w:jc w:val="left"/>
      </w:pPr>
      <w:r>
        <w:rPr>
          <w:rFonts w:ascii="Times New Roman" w:hAnsi="Times New Roman" w:eastAsia="Times New Roman" w:cs="Times New Roman"/>
          <w:b w:val="0"/>
          <w:sz w:val="24"/>
        </w:rPr>
        <w:t>49.</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My opinion as to the level of ordinary skill in the art is supported by the following: [Explain]</w:t>
      </w:r>
    </w:p>
    <w:p>
      <w:pPr>
        <w:keepNext w:val="0"/>
        <w:spacing w:before="120" w:after="0" w:line="260" w:lineRule="exact"/>
        <w:ind w:left="1080" w:right="0" w:firstLine="0"/>
        <w:jc w:val="left"/>
      </w:pPr>
      <w:r>
        <w:rPr>
          <w:rFonts w:ascii="Times New Roman" w:hAnsi="Times New Roman" w:eastAsia="Times New Roman" w:cs="Times New Roman"/>
          <w:b/>
          <w:sz w:val="24"/>
        </w:rPr>
        <w:t>THE PRIOR ART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50.</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My review of the prior art revealed the following: [Introductory summary of the disclosures and teachings of the prior art patents, publications, products, etc. on which the expert relies].</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 have been asked to examine whether any single prior art reference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of prior art references would render the subject matter of the asserted claims obvious as of the effective filing date.</w:t>
      </w:r>
    </w:p>
    <w:p>
      <w:pPr>
        <w:keepNext w:val="0"/>
        <w:spacing w:before="120" w:after="0" w:line="260" w:lineRule="exact"/>
        <w:ind w:left="1440" w:right="0" w:firstLine="0"/>
        <w:jc w:val="left"/>
      </w:pPr>
      <w:r>
        <w:rPr>
          <w:rFonts w:ascii="Times New Roman" w:hAnsi="Times New Roman" w:eastAsia="Times New Roman" w:cs="Times New Roman"/>
          <w:b w:val="0"/>
          <w:sz w:val="24"/>
        </w:rPr>
        <w:t>52.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In my opinion, the subject matter of claims [claim numbers] would have been obvious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 as of [the effective filing date] in view of [title of first prior art reference] alone, or in combination with [title of second prior art reference].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explanation of my reasons for reaching this conclusion is summarized below and is shown in the claim charts attached as Exhibit [exhibit number].</w:t>
      </w:r>
    </w:p>
    <w:p>
      <w:pPr>
        <w:keepNext w:val="0"/>
        <w:spacing w:before="200" w:after="0" w:line="260" w:lineRule="exact"/>
        <w:ind w:left="1440" w:right="0" w:firstLine="0"/>
        <w:jc w:val="both"/>
      </w:pPr>
      <w:r>
        <w:rPr>
          <w:rFonts w:ascii="Times New Roman" w:hAnsi="Times New Roman" w:eastAsia="Times New Roman" w:cs="Times New Roman"/>
          <w:b/>
          <w:sz w:val="24"/>
        </w:rPr>
        <w:t>[Title of First Prior Art Reference]</w:t>
      </w:r>
    </w:p>
    <w:p>
      <w:pPr>
        <w:keepNext w:val="0"/>
        <w:spacing w:before="120" w:after="0" w:line="260" w:lineRule="exact"/>
        <w:ind w:left="1800" w:right="0" w:firstLine="0"/>
        <w:jc w:val="left"/>
      </w:pPr>
      <w:r>
        <w:rPr>
          <w:rFonts w:ascii="Times New Roman" w:hAnsi="Times New Roman" w:eastAsia="Times New Roman" w:cs="Times New Roman"/>
          <w:b w:val="0"/>
          <w:sz w:val="24"/>
        </w:rPr>
        <w:t>53.</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problem addressed by the claimed invention was well known in the art as of the effective filing date. [Provide support (e.g., cite admitted prior art or other statements in the prosecution history)]</w:t>
      </w:r>
    </w:p>
    <w:p>
      <w:pPr>
        <w:keepNext w:val="0"/>
        <w:spacing w:before="120" w:after="0" w:line="260" w:lineRule="exact"/>
        <w:ind w:left="1800" w:right="0" w:firstLine="0"/>
        <w:jc w:val="left"/>
      </w:pPr>
      <w:r>
        <w:rPr>
          <w:rFonts w:ascii="Times New Roman" w:hAnsi="Times New Roman" w:eastAsia="Times New Roman" w:cs="Times New Roman"/>
          <w:b w:val="0"/>
          <w:sz w:val="24"/>
        </w:rPr>
        <w:t>54.</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[First prior art reference] discloses all the limitations of claim [claim number] except for the following limitation: [missing limitation].</w:t>
      </w:r>
    </w:p>
    <w:p>
      <w:pPr>
        <w:keepNext w:val="0"/>
        <w:spacing w:before="120" w:after="0" w:line="260" w:lineRule="exact"/>
        <w:ind w:left="1800" w:right="0" w:firstLine="0"/>
        <w:jc w:val="left"/>
      </w:pPr>
      <w:r>
        <w:rPr>
          <w:rFonts w:ascii="Times New Roman" w:hAnsi="Times New Roman" w:eastAsia="Times New Roman" w:cs="Times New Roman"/>
          <w:b w:val="0"/>
          <w:sz w:val="24"/>
        </w:rPr>
        <w:t>55.</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[First prior art reference] discloses the following: [disclosures that include claim limitations of the asserted claims]</w:t>
      </w:r>
    </w:p>
    <w:p>
      <w:pPr>
        <w:keepNext w:val="0"/>
        <w:spacing w:before="120" w:after="0" w:line="260" w:lineRule="exact"/>
        <w:ind w:left="1800" w:right="0" w:firstLine="0"/>
        <w:jc w:val="left"/>
      </w:pPr>
      <w:r>
        <w:rPr>
          <w:rFonts w:ascii="Times New Roman" w:hAnsi="Times New Roman" w:eastAsia="Times New Roman" w:cs="Times New Roman"/>
          <w:b w:val="0"/>
          <w:sz w:val="24"/>
        </w:rPr>
        <w:t>56.</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[First prior art reference] teaches that [describe teachings].</w:t>
      </w:r>
    </w:p>
    <w:p>
      <w:pPr>
        <w:keepNext w:val="0"/>
        <w:spacing w:before="120" w:after="0" w:line="260" w:lineRule="exact"/>
        <w:ind w:left="1800" w:right="0" w:firstLine="0"/>
        <w:jc w:val="left"/>
      </w:pPr>
      <w:r>
        <w:rPr>
          <w:rFonts w:ascii="Times New Roman" w:hAnsi="Times New Roman" w:eastAsia="Times New Roman" w:cs="Times New Roman"/>
          <w:b w:val="0"/>
          <w:sz w:val="24"/>
        </w:rPr>
        <w:t>57.</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[First prior art reference] suggests [missing claim limitation] by teaching that [teaching that suggests missing claim limitation].</w:t>
      </w:r>
    </w:p>
    <w:p>
      <w:pPr>
        <w:keepNext w:val="0"/>
        <w:spacing w:before="120" w:after="0" w:line="260" w:lineRule="exact"/>
        <w:ind w:left="1800" w:right="0" w:firstLine="0"/>
        <w:jc w:val="left"/>
      </w:pPr>
      <w:r>
        <w:rPr>
          <w:rFonts w:ascii="Times New Roman" w:hAnsi="Times New Roman" w:eastAsia="Times New Roman" w:cs="Times New Roman"/>
          <w:b w:val="0"/>
          <w:sz w:val="24"/>
        </w:rPr>
        <w:t>58.</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In any case, even if [first prior art reference] did not suggest [missing claim limitation], it would have been well within the knowledge, skill level, and common sense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 at the time to add [missing claim limitation] to the teachings of [first prior art reference],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expectation of success, for the following reasons: [explain].</w:t>
      </w:r>
    </w:p>
    <w:p>
      <w:pPr>
        <w:keepNext w:val="0"/>
        <w:spacing w:before="120" w:after="0" w:line="260" w:lineRule="exact"/>
        <w:ind w:left="1800" w:right="0" w:firstLine="0"/>
        <w:jc w:val="left"/>
      </w:pPr>
      <w:r>
        <w:rPr>
          <w:rFonts w:ascii="Times New Roman" w:hAnsi="Times New Roman" w:eastAsia="Times New Roman" w:cs="Times New Roman"/>
          <w:b w:val="0"/>
          <w:sz w:val="24"/>
        </w:rPr>
        <w:t>59.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skill and knowledge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 alone would have presented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motivation or reason to combine the teachings of [first prior art reference] with [missing claim limitation]. [Explain]</w:t>
      </w:r>
    </w:p>
    <w:p>
      <w:pPr>
        <w:keepNext w:val="0"/>
        <w:spacing w:before="120" w:after="0" w:line="260" w:lineRule="exact"/>
        <w:ind w:left="1800" w:right="0" w:firstLine="0"/>
        <w:jc w:val="left"/>
      </w:pPr>
      <w:r>
        <w:rPr>
          <w:rFonts w:ascii="Times New Roman" w:hAnsi="Times New Roman" w:eastAsia="Times New Roman" w:cs="Times New Roman"/>
          <w:b w:val="0"/>
          <w:sz w:val="24"/>
        </w:rPr>
        <w:t>60.</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 would have been motivated to combine the teachings of [first prior art reference] with [missing claim limitation] because there were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number of well-known options for performing the function of [function performed by missing claim limitation] at the relevant time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 would have chosen [missing claim limitation] as the best option for performing the function. [Explain].</w:t>
      </w:r>
    </w:p>
    <w:p>
      <w:pPr>
        <w:keepNext w:val="0"/>
        <w:spacing w:before="200" w:after="0" w:line="260" w:lineRule="exact"/>
        <w:ind w:left="1440" w:right="0" w:firstLine="0"/>
        <w:jc w:val="both"/>
      </w:pPr>
      <w:r>
        <w:rPr>
          <w:rFonts w:ascii="Times New Roman" w:hAnsi="Times New Roman" w:eastAsia="Times New Roman" w:cs="Times New Roman"/>
          <w:b/>
          <w:sz w:val="24"/>
        </w:rPr>
        <w:t>[Title of First Prior Art Reference] In Combination With [Title of Second Prior Art Reference]</w:t>
      </w:r>
    </w:p>
    <w:p>
      <w:pPr>
        <w:keepNext w:val="0"/>
        <w:spacing w:before="120" w:after="0" w:line="260" w:lineRule="exact"/>
        <w:ind w:left="1800" w:right="0" w:firstLine="0"/>
        <w:jc w:val="left"/>
      </w:pPr>
      <w:r>
        <w:rPr>
          <w:rFonts w:ascii="Times New Roman" w:hAnsi="Times New Roman" w:eastAsia="Times New Roman" w:cs="Times New Roman"/>
          <w:b w:val="0"/>
          <w:sz w:val="24"/>
        </w:rPr>
        <w:t>61.</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[Second prior art reference] teaches the claim limitations that are not explicitly disclosed in [first prior art reference].</w:t>
      </w:r>
    </w:p>
    <w:p>
      <w:pPr>
        <w:keepNext w:val="0"/>
        <w:spacing w:before="120" w:after="0" w:line="260" w:lineRule="exact"/>
        <w:ind w:left="1800" w:right="0" w:firstLine="0"/>
        <w:jc w:val="left"/>
      </w:pPr>
      <w:r>
        <w:rPr>
          <w:rFonts w:ascii="Times New Roman" w:hAnsi="Times New Roman" w:eastAsia="Times New Roman" w:cs="Times New Roman"/>
          <w:b w:val="0"/>
          <w:sz w:val="24"/>
        </w:rPr>
        <w:t>62.</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[Second prior art reference] teaches as follows: [quote or describe relevant teachings].</w:t>
      </w:r>
    </w:p>
    <w:p>
      <w:pPr>
        <w:keepNext w:val="0"/>
        <w:spacing w:before="120" w:after="0" w:line="260" w:lineRule="exact"/>
        <w:ind w:left="1800" w:right="0" w:firstLine="0"/>
        <w:jc w:val="left"/>
      </w:pPr>
      <w:r>
        <w:rPr>
          <w:rFonts w:ascii="Times New Roman" w:hAnsi="Times New Roman" w:eastAsia="Times New Roman" w:cs="Times New Roman"/>
          <w:b w:val="0"/>
          <w:sz w:val="24"/>
        </w:rPr>
        <w:t>63.</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skill and knowledge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 alone would have presented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motivation or reason to combine the teachings of [first prior art reference] with [second prior art reference],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expectation of success. [Explain].</w:t>
      </w:r>
    </w:p>
    <w:p>
      <w:pPr>
        <w:keepNext w:val="0"/>
        <w:spacing w:before="120" w:after="0" w:line="260" w:lineRule="exact"/>
        <w:ind w:left="1800" w:right="0" w:firstLine="0"/>
        <w:jc w:val="left"/>
      </w:pPr>
      <w:r>
        <w:rPr>
          <w:rFonts w:ascii="Times New Roman" w:hAnsi="Times New Roman" w:eastAsia="Times New Roman" w:cs="Times New Roman"/>
          <w:b w:val="0"/>
          <w:sz w:val="24"/>
        </w:rPr>
        <w:t>64.</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Also, [second prior art reference] suggests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by teaching that [explain teaching that suggests the combination].</w:t>
      </w:r>
    </w:p>
    <w:p>
      <w:pPr>
        <w:keepNext w:val="0"/>
        <w:spacing w:before="120" w:after="0" w:line="260" w:lineRule="exact"/>
        <w:ind w:left="1080" w:right="0" w:firstLine="0"/>
        <w:jc w:val="left"/>
      </w:pPr>
      <w:r>
        <w:rPr>
          <w:rFonts w:ascii="Times New Roman" w:hAnsi="Times New Roman" w:eastAsia="Times New Roman" w:cs="Times New Roman"/>
          <w:b/>
          <w:sz w:val="24"/>
        </w:rPr>
        <w:t>SECONDARY CONSIDERATIONS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65.</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 understand from [patent owner's discovery responses or expert report or another source] that [patent owner] contends that the commercial success of [patent owner's] product covered by the asserted claims is indicative of non-obviousness. However, even assuming that such commercial success is established, I am not aware of any facts that would show the required nexus between the subject matter of the asserted claims and the commercial success of the product.</w:t>
      </w:r>
    </w:p>
    <w:p>
      <w:pPr>
        <w:keepNext w:val="0"/>
        <w:spacing w:before="120" w:after="0" w:line="260" w:lineRule="exact"/>
        <w:ind w:left="1080" w:right="0" w:firstLine="0"/>
        <w:jc w:val="left"/>
      </w:pPr>
      <w:r>
        <w:rPr>
          <w:rFonts w:ascii="Times New Roman" w:hAnsi="Times New Roman" w:eastAsia="Times New Roman" w:cs="Times New Roman"/>
          <w:b/>
          <w:sz w:val="24"/>
        </w:rPr>
        <w:t>RESERVATION OF RIGHTS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66.</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 reserve the right to supplement or amend my opinion if new information or new or expanded arguments are brought to my attention. I also reserve the right to rebut any testimony or arguments that may be relied upon or made by the Plaintiff. I have not yet decided on what exhibits I may use if called upon to testify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hearing or at trial, and I reserve my right to illustrate my testimony with demonstrative exhibits.</w:t>
      </w:r>
    </w:p>
    <w:p>
      <w:pPr>
        <w:keepNext w:val="0"/>
        <w:spacing w:before="200" w:after="0" w:line="260" w:lineRule="exact"/>
        <w:ind w:left="1080" w:right="0" w:firstLine="0"/>
        <w:jc w:val="both"/>
      </w:pPr>
      <w:r>
        <w:rPr>
          <w:rFonts w:ascii="Times New Roman" w:hAnsi="Times New Roman" w:eastAsia="Times New Roman" w:cs="Times New Roman"/>
          <w:b w:val="0"/>
          <w:sz w:val="24"/>
        </w:rPr>
        <w:t>I declare under penalty of perjury that the foregoing is true and correct.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on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expert]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