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Fiduciary Duties of the Board of Directors (Delaware)</w:t>
      </w:r>
    </w:p>
    <w:p>
      <w:pPr>
        <w:keepNext w:val="0"/>
        <w:spacing w:after="0" w:line="240" w:lineRule="exact"/>
        <w:ind w:right="0"/>
        <w:jc w:val="both"/>
      </w:pPr>
    </w:p>
    <w:p>
      <w:pPr>
        <w:keepNext w:val="0"/>
        <w:spacing w:before="200" w:after="0" w:line="260" w:lineRule="exact"/>
        <w:ind w:left="0" w:right="0" w:firstLine="0"/>
        <w:jc w:val="both"/>
      </w:pPr>
      <w:r>
        <w:rPr>
          <w:rFonts w:ascii="Times New Roman" w:hAnsi="Times New Roman" w:eastAsia="Times New Roman" w:cs="Times New Roman"/>
          <w:b w:val="0"/>
          <w:sz w:val="24"/>
        </w:rPr>
        <w:t xml:space="preserve">This form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presentation for use in advising the directors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corporation of their fiduciary duties under the Delaware General Corporate Law (DGCL). You should supplement this form with any additional guidance you feel is appropriate and tailor it to the specific circumstances of the corporation and the board.</w:t>
      </w:r>
    </w:p>
    <w:p>
      <w:pPr>
        <w:keepNext w:val="0"/>
        <w:spacing w:before="200" w:after="0" w:line="260" w:lineRule="exact"/>
        <w:ind w:left="0" w:right="0" w:firstLine="0"/>
        <w:jc w:val="both"/>
      </w:pPr>
      <w:r>
        <w:rPr>
          <w:rFonts w:ascii="Times New Roman" w:hAnsi="Times New Roman" w:eastAsia="Times New Roman" w:cs="Times New Roman"/>
          <w:b w:val="0"/>
          <w:sz w:val="24"/>
        </w:rPr>
        <w:t>For discussion of these fiduciary duties in certain corporate governance contexts, see Poison Pills: Fiduciary, Filing, and Disclosure Obligations and Shareholder Rights Plan Fiduciary Review Process Checklist (Poison Pill).</w:t>
      </w:r>
    </w:p>
    <w:p>
      <w:pPr>
        <w:keepNext w:val="0"/>
        <w:spacing w:before="200" w:after="0" w:line="260" w:lineRule="exact"/>
        <w:ind w:left="0" w:right="0" w:firstLine="0"/>
        <w:jc w:val="both"/>
      </w:pPr>
      <w:r>
        <w:rPr>
          <w:rFonts w:ascii="Times New Roman" w:hAnsi="Times New Roman" w:eastAsia="Times New Roman" w:cs="Times New Roman"/>
          <w:b w:val="0"/>
          <w:sz w:val="24"/>
        </w:rPr>
        <w:t>For materials relating to advisors to the board of directors, see Corporate Advisory Boards and Board Advisor Agreement.</w:t>
      </w:r>
    </w:p>
    <w:p>
      <w:pPr>
        <w:keepNext w:val="0"/>
        <w:spacing w:before="200" w:after="0" w:line="260" w:lineRule="exact"/>
        <w:ind w:left="0" w:right="0" w:firstLine="0"/>
        <w:jc w:val="both"/>
      </w:pPr>
      <w:r>
        <w:rPr>
          <w:rFonts w:ascii="Times New Roman" w:hAnsi="Times New Roman" w:eastAsia="Times New Roman" w:cs="Times New Roman"/>
          <w:b/>
          <w:sz w:val="24"/>
        </w:rPr>
        <w:t>Slide 1: Fiduciary Duties of the Board of Directors (Delaware)</w:t>
      </w:r>
    </w:p>
    <w:p>
      <w:pPr>
        <w:keepNext w:val="0"/>
        <w:spacing w:before="200" w:after="0" w:line="260" w:lineRule="exact"/>
        <w:ind w:left="0" w:right="0" w:firstLine="0"/>
        <w:jc w:val="both"/>
      </w:pPr>
      <w:r>
        <w:rPr>
          <w:rFonts w:ascii="Times New Roman" w:hAnsi="Times New Roman" w:eastAsia="Times New Roman" w:cs="Times New Roman"/>
          <w:b/>
          <w:sz w:val="24"/>
        </w:rPr>
        <w:t>Slide 2: Overview</w:t>
      </w:r>
    </w:p>
    <w:p>
      <w:pPr>
        <w:keepNext w:val="0"/>
        <w:spacing w:before="120" w:after="0" w:line="260" w:lineRule="exact"/>
        <w:ind w:right="0"/>
        <w:jc w:val="both"/>
      </w:pPr>
      <w:r>
        <w:rPr>
          <w:rFonts w:ascii="Times New Roman" w:hAnsi="Times New Roman" w:eastAsia="Times New Roman" w:cs="Times New Roman"/>
          <w:b w:val="0"/>
          <w:sz w:val="24"/>
        </w:rPr>
        <w:t xml:space="preserve">What it Means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w:t>
      </w:r>
    </w:p>
    <w:p>
      <w:pPr>
        <w:keepNext w:val="0"/>
        <w:spacing w:before="120" w:after="0" w:line="260" w:lineRule="exact"/>
        <w:ind w:right="0"/>
        <w:jc w:val="both"/>
      </w:pPr>
      <w:r>
        <w:rPr>
          <w:rFonts w:ascii="Times New Roman" w:hAnsi="Times New Roman" w:eastAsia="Times New Roman" w:cs="Times New Roman"/>
          <w:b w:val="0"/>
          <w:sz w:val="24"/>
        </w:rPr>
        <w:t>Duty of Care</w:t>
      </w:r>
    </w:p>
    <w:p>
      <w:pPr>
        <w:keepNext w:val="0"/>
        <w:spacing w:before="120" w:after="0" w:line="260" w:lineRule="exact"/>
        <w:ind w:right="0"/>
        <w:jc w:val="both"/>
      </w:pPr>
      <w:r>
        <w:rPr>
          <w:rFonts w:ascii="Times New Roman" w:hAnsi="Times New Roman" w:eastAsia="Times New Roman" w:cs="Times New Roman"/>
          <w:b w:val="0"/>
          <w:sz w:val="24"/>
        </w:rPr>
        <w:t>Duty of Loyalty</w:t>
      </w:r>
    </w:p>
    <w:p>
      <w:pPr>
        <w:keepNext w:val="0"/>
        <w:spacing w:before="120" w:after="0" w:line="260" w:lineRule="exact"/>
        <w:ind w:right="0"/>
        <w:jc w:val="both"/>
      </w:pPr>
      <w:r>
        <w:rPr>
          <w:rFonts w:ascii="Times New Roman" w:hAnsi="Times New Roman" w:eastAsia="Times New Roman" w:cs="Times New Roman"/>
          <w:b w:val="0"/>
          <w:sz w:val="24"/>
        </w:rPr>
        <w:t>The Business Judgment Rule</w:t>
      </w:r>
    </w:p>
    <w:p>
      <w:pPr>
        <w:keepNext w:val="0"/>
        <w:spacing w:before="120" w:after="0" w:line="260" w:lineRule="exact"/>
        <w:ind w:right="0"/>
        <w:jc w:val="both"/>
      </w:pPr>
      <w:r>
        <w:rPr>
          <w:rFonts w:ascii="Times New Roman" w:hAnsi="Times New Roman" w:eastAsia="Times New Roman" w:cs="Times New Roman"/>
          <w:b w:val="0"/>
          <w:sz w:val="24"/>
        </w:rPr>
        <w:t>Statutory Limitations of Liability</w:t>
      </w:r>
    </w:p>
    <w:p>
      <w:pPr>
        <w:keepNext w:val="0"/>
        <w:spacing w:before="120" w:after="0" w:line="260" w:lineRule="exact"/>
        <w:ind w:right="0"/>
        <w:jc w:val="both"/>
      </w:pPr>
      <w:r>
        <w:rPr>
          <w:rFonts w:ascii="Times New Roman" w:hAnsi="Times New Roman" w:eastAsia="Times New Roman" w:cs="Times New Roman"/>
          <w:b w:val="0"/>
          <w:sz w:val="24"/>
        </w:rPr>
        <w:t>Questions</w:t>
      </w:r>
    </w:p>
    <w:p>
      <w:pPr>
        <w:keepNext w:val="0"/>
        <w:spacing w:before="200" w:after="0" w:line="260" w:lineRule="exact"/>
        <w:ind w:left="0" w:right="0" w:firstLine="0"/>
        <w:jc w:val="both"/>
      </w:pPr>
      <w:r>
        <w:rPr>
          <w:rFonts w:ascii="Times New Roman" w:hAnsi="Times New Roman" w:eastAsia="Times New Roman" w:cs="Times New Roman"/>
          <w:b/>
          <w:sz w:val="24"/>
        </w:rPr>
        <w:t xml:space="preserve">Slide 3: What it Means to be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Fiduciary</w:t>
      </w:r>
    </w:p>
    <w:p>
      <w:pPr>
        <w:keepNext w:val="0"/>
        <w:spacing w:before="120" w:after="0" w:line="260" w:lineRule="exact"/>
        <w:ind w:right="0"/>
        <w:jc w:val="both"/>
      </w:pPr>
      <w:r>
        <w:rPr>
          <w:rFonts w:ascii="Times New Roman" w:hAnsi="Times New Roman" w:eastAsia="Times New Roman" w:cs="Times New Roman"/>
          <w:b w:val="0"/>
          <w:sz w:val="24"/>
        </w:rPr>
        <w:t>The board of directors has high-level oversight authority over the corporation and sets its strategic direction</w:t>
      </w:r>
    </w:p>
    <w:p>
      <w:pPr>
        <w:keepNext w:val="0"/>
        <w:spacing w:before="120" w:after="0" w:line="260" w:lineRule="exact"/>
        <w:ind w:right="0"/>
        <w:jc w:val="both"/>
      </w:pPr>
      <w:r>
        <w:rPr>
          <w:rFonts w:ascii="Times New Roman" w:hAnsi="Times New Roman" w:eastAsia="Times New Roman" w:cs="Times New Roman"/>
          <w:b w:val="0"/>
          <w:sz w:val="24"/>
        </w:rPr>
        <w:t xml:space="preserve">Delaware law has given the board and each board member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responsibility to make decisions in the best interests of the corporation and its shareholders</w:t>
      </w:r>
    </w:p>
    <w:p>
      <w:pPr>
        <w:keepNext w:val="0"/>
        <w:spacing w:before="120" w:after="0" w:line="260" w:lineRule="exact"/>
        <w:ind w:left="1080" w:right="0"/>
        <w:jc w:val="both"/>
      </w:pPr>
      <w:r>
        <w:rPr>
          <w:rFonts w:ascii="Times New Roman" w:hAnsi="Times New Roman" w:eastAsia="Times New Roman" w:cs="Times New Roman"/>
          <w:b w:val="0"/>
          <w:sz w:val="24"/>
        </w:rPr>
        <w:t>o</w:t>
        <w:tab/>
        <w:t xml:space="preserve">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insolvency context, this duty shifts to the company’s creditors</w:t>
      </w:r>
    </w:p>
    <w:p>
      <w:pPr>
        <w:keepNext w:val="0"/>
        <w:spacing w:before="120" w:after="0" w:line="260" w:lineRule="exact"/>
        <w:ind w:right="0"/>
        <w:jc w:val="both"/>
      </w:pPr>
      <w:r>
        <w:rPr>
          <w:rFonts w:ascii="Times New Roman" w:hAnsi="Times New Roman" w:eastAsia="Times New Roman" w:cs="Times New Roman"/>
          <w:b w:val="0"/>
          <w:sz w:val="24"/>
        </w:rPr>
        <w:t xml:space="preserve">Making decisions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 requires the directors to work within the company’s charter and bylaws and applicable law</w:t>
      </w:r>
    </w:p>
    <w:p>
      <w:pPr>
        <w:keepNext w:val="0"/>
        <w:spacing w:before="200" w:after="0" w:line="260" w:lineRule="exact"/>
        <w:ind w:left="0" w:right="0" w:firstLine="0"/>
        <w:jc w:val="both"/>
      </w:pPr>
      <w:r>
        <w:rPr>
          <w:rFonts w:ascii="Times New Roman" w:hAnsi="Times New Roman" w:eastAsia="Times New Roman" w:cs="Times New Roman"/>
          <w:b/>
          <w:sz w:val="24"/>
        </w:rPr>
        <w:t>Slide 4: Duty of Care</w:t>
      </w:r>
    </w:p>
    <w:p>
      <w:pPr>
        <w:keepNext w:val="0"/>
        <w:spacing w:before="120" w:after="0" w:line="260" w:lineRule="exact"/>
        <w:ind w:right="0"/>
        <w:jc w:val="both"/>
      </w:pPr>
      <w:r>
        <w:rPr>
          <w:rFonts w:ascii="Times New Roman" w:hAnsi="Times New Roman" w:eastAsia="Times New Roman" w:cs="Times New Roman"/>
          <w:b w:val="0"/>
          <w:sz w:val="24"/>
        </w:rPr>
        <w:t xml:space="preserve">Directors must perform their duties in “good faith” with the level of care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“ordinary prudent person” in the same position would exercise. Smith v. Van Gorkom, 488 </w:t>
      </w:r>
      <w:r>
        <w:rPr>
          <w:rFonts w:ascii="Times New Roman" w:hAnsi="Times New Roman" w:eastAsia="Times New Roman" w:cs="Times New Roman"/>
          <w:b/>
          <w:sz w:val="24"/>
        </w:rPr>
        <w:t>A</w:t>
      </w:r>
      <w:r>
        <w:rPr>
          <w:rFonts w:ascii="Times New Roman" w:hAnsi="Times New Roman" w:eastAsia="Times New Roman" w:cs="Times New Roman"/>
          <w:b w:val="0"/>
          <w:sz w:val="24"/>
        </w:rPr>
        <w:t>.2d 858 (Del. 1985)</w:t>
      </w:r>
    </w:p>
    <w:p>
      <w:pPr>
        <w:keepNext w:val="0"/>
        <w:spacing w:before="120" w:after="0" w:line="260" w:lineRule="exact"/>
        <w:ind w:right="0"/>
        <w:jc w:val="both"/>
      </w:pPr>
      <w:r>
        <w:rPr>
          <w:rFonts w:ascii="Times New Roman" w:hAnsi="Times New Roman" w:eastAsia="Times New Roman" w:cs="Times New Roman"/>
          <w:b w:val="0"/>
          <w:sz w:val="24"/>
        </w:rPr>
        <w:t xml:space="preserve">Directors must take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active oversight role in directing the company</w:t>
      </w:r>
    </w:p>
    <w:p>
      <w:pPr>
        <w:keepNext w:val="0"/>
        <w:spacing w:before="120" w:after="0" w:line="260" w:lineRule="exact"/>
        <w:ind w:right="0"/>
        <w:jc w:val="both"/>
      </w:pPr>
      <w:r>
        <w:rPr>
          <w:rFonts w:ascii="Times New Roman" w:hAnsi="Times New Roman" w:eastAsia="Times New Roman" w:cs="Times New Roman"/>
          <w:b w:val="0"/>
          <w:sz w:val="24"/>
        </w:rPr>
        <w:t>Directors must make informed decisions and understand their implications</w:t>
      </w:r>
    </w:p>
    <w:p>
      <w:pPr>
        <w:keepNext w:val="0"/>
        <w:spacing w:before="120" w:after="0" w:line="260" w:lineRule="exact"/>
        <w:ind w:left="1080" w:right="0"/>
        <w:jc w:val="both"/>
      </w:pPr>
      <w:r>
        <w:rPr>
          <w:rFonts w:ascii="Times New Roman" w:hAnsi="Times New Roman" w:eastAsia="Times New Roman" w:cs="Times New Roman"/>
          <w:b w:val="0"/>
          <w:sz w:val="24"/>
        </w:rPr>
        <w:t>o</w:t>
        <w:tab/>
        <w:t>Directors must review all material information reasonably available to them</w:t>
      </w:r>
    </w:p>
    <w:p>
      <w:pPr>
        <w:keepNext w:val="0"/>
        <w:spacing w:before="120" w:after="0" w:line="260" w:lineRule="exact"/>
        <w:ind w:right="0"/>
        <w:jc w:val="both"/>
      </w:pPr>
      <w:r>
        <w:rPr>
          <w:rFonts w:ascii="Times New Roman" w:hAnsi="Times New Roman" w:eastAsia="Times New Roman" w:cs="Times New Roman"/>
          <w:b w:val="0"/>
          <w:sz w:val="24"/>
        </w:rPr>
        <w:t>Directors may rely on board committees, officers, outside counsel, accountants, and other experts for advice when making decisions</w:t>
      </w:r>
    </w:p>
    <w:p>
      <w:pPr>
        <w:keepNext w:val="0"/>
        <w:spacing w:before="120" w:after="0" w:line="260" w:lineRule="exact"/>
        <w:ind w:left="1080" w:right="0"/>
        <w:jc w:val="both"/>
      </w:pPr>
      <w:r>
        <w:rPr>
          <w:rFonts w:ascii="Times New Roman" w:hAnsi="Times New Roman" w:eastAsia="Times New Roman" w:cs="Times New Roman"/>
          <w:b w:val="0"/>
          <w:sz w:val="24"/>
        </w:rPr>
        <w:t>o</w:t>
        <w:tab/>
      </w:r>
      <w:r>
        <w:rPr>
          <w:rFonts w:ascii="Times New Roman" w:hAnsi="Times New Roman" w:eastAsia="Times New Roman" w:cs="Times New Roman"/>
          <w:b/>
          <w:sz w:val="24"/>
        </w:rPr>
        <w:t>However</w:t>
      </w:r>
      <w:r>
        <w:rPr>
          <w:rFonts w:ascii="Times New Roman" w:hAnsi="Times New Roman" w:eastAsia="Times New Roman" w:cs="Times New Roman"/>
          <w:b w:val="0"/>
          <w:sz w:val="24"/>
        </w:rPr>
        <w:t>, directors cannot blindly accept it; they must critically review</w:t>
      </w:r>
    </w:p>
    <w:p>
      <w:pPr>
        <w:keepNext w:val="0"/>
        <w:spacing w:before="200" w:after="0" w:line="260" w:lineRule="exact"/>
        <w:ind w:left="0" w:right="0" w:firstLine="0"/>
        <w:jc w:val="both"/>
      </w:pPr>
      <w:r>
        <w:rPr>
          <w:rFonts w:ascii="Times New Roman" w:hAnsi="Times New Roman" w:eastAsia="Times New Roman" w:cs="Times New Roman"/>
          <w:b/>
          <w:sz w:val="24"/>
        </w:rPr>
        <w:t>Slide 5: Duty of Loyalty</w:t>
      </w:r>
    </w:p>
    <w:p>
      <w:pPr>
        <w:keepNext w:val="0"/>
        <w:spacing w:before="120" w:after="0" w:line="260" w:lineRule="exact"/>
        <w:ind w:right="0"/>
        <w:jc w:val="both"/>
      </w:pPr>
      <w:r>
        <w:rPr>
          <w:rFonts w:ascii="Times New Roman" w:hAnsi="Times New Roman" w:eastAsia="Times New Roman" w:cs="Times New Roman"/>
          <w:b w:val="0"/>
          <w:sz w:val="24"/>
        </w:rPr>
        <w:t>Directors must put the interests of the corporation above their own</w:t>
      </w:r>
    </w:p>
    <w:p>
      <w:pPr>
        <w:keepNext w:val="0"/>
        <w:spacing w:before="120" w:after="0" w:line="260" w:lineRule="exact"/>
        <w:ind w:right="0"/>
        <w:jc w:val="both"/>
      </w:pPr>
      <w:r>
        <w:rPr>
          <w:rFonts w:ascii="Times New Roman" w:hAnsi="Times New Roman" w:eastAsia="Times New Roman" w:cs="Times New Roman"/>
          <w:b w:val="0"/>
          <w:sz w:val="24"/>
        </w:rPr>
        <w:t xml:space="preserve">Any kind of self-dealing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duty</w:t>
      </w:r>
    </w:p>
    <w:p>
      <w:pPr>
        <w:keepNext w:val="0"/>
        <w:spacing w:before="120" w:after="0" w:line="260" w:lineRule="exact"/>
        <w:ind w:right="0"/>
        <w:jc w:val="both"/>
      </w:pPr>
      <w:r>
        <w:rPr>
          <w:rFonts w:ascii="Times New Roman" w:hAnsi="Times New Roman" w:eastAsia="Times New Roman" w:cs="Times New Roman"/>
          <w:b w:val="0"/>
          <w:sz w:val="24"/>
        </w:rPr>
        <w:t>Directors may not engage in any of the following:</w:t>
      </w:r>
    </w:p>
    <w:p>
      <w:pPr>
        <w:keepNext w:val="0"/>
        <w:spacing w:before="120" w:after="0" w:line="260" w:lineRule="exact"/>
        <w:ind w:left="1080" w:right="0"/>
        <w:jc w:val="both"/>
      </w:pPr>
      <w:r>
        <w:rPr>
          <w:rFonts w:ascii="Times New Roman" w:hAnsi="Times New Roman" w:eastAsia="Times New Roman" w:cs="Times New Roman"/>
          <w:b w:val="0"/>
          <w:sz w:val="24"/>
        </w:rPr>
        <w:t>o</w:t>
        <w:tab/>
        <w:t>Interested transactions not entirely fair to the corporation</w:t>
      </w:r>
    </w:p>
    <w:p>
      <w:pPr>
        <w:keepNext w:val="0"/>
        <w:spacing w:before="120" w:after="0" w:line="260" w:lineRule="exact"/>
        <w:ind w:left="1080" w:right="0"/>
        <w:jc w:val="both"/>
      </w:pPr>
      <w:r>
        <w:rPr>
          <w:rFonts w:ascii="Times New Roman" w:hAnsi="Times New Roman" w:eastAsia="Times New Roman" w:cs="Times New Roman"/>
          <w:b w:val="0"/>
          <w:sz w:val="24"/>
        </w:rPr>
        <w:t>o</w:t>
        <w:tab/>
        <w:t>Personally profit from confidential corporate information</w:t>
      </w:r>
    </w:p>
    <w:p>
      <w:pPr>
        <w:keepNext w:val="0"/>
        <w:spacing w:before="120" w:after="0" w:line="260" w:lineRule="exact"/>
        <w:ind w:left="1080" w:right="0"/>
        <w:jc w:val="both"/>
      </w:pPr>
      <w:r>
        <w:rPr>
          <w:rFonts w:ascii="Times New Roman" w:hAnsi="Times New Roman" w:eastAsia="Times New Roman" w:cs="Times New Roman"/>
          <w:b w:val="0"/>
          <w:sz w:val="24"/>
        </w:rPr>
        <w:t>o</w:t>
        <w:tab/>
        <w:t>Take any action primarily to maintain their office as director</w:t>
      </w:r>
    </w:p>
    <w:p>
      <w:pPr>
        <w:keepNext w:val="0"/>
        <w:spacing w:before="120" w:after="0" w:line="260" w:lineRule="exact"/>
        <w:ind w:left="1080" w:right="0"/>
        <w:jc w:val="both"/>
      </w:pPr>
      <w:r>
        <w:rPr>
          <w:rFonts w:ascii="Times New Roman" w:hAnsi="Times New Roman" w:eastAsia="Times New Roman" w:cs="Times New Roman"/>
          <w:b w:val="0"/>
          <w:sz w:val="24"/>
        </w:rPr>
        <w:t>o</w:t>
        <w:tab/>
        <w:t>Receive (or cause their affiliates to receive) any benefit that the company will not</w:t>
      </w:r>
    </w:p>
    <w:p>
      <w:pPr>
        <w:keepNext w:val="0"/>
        <w:spacing w:before="200" w:after="0" w:line="260" w:lineRule="exact"/>
        <w:ind w:left="0" w:right="0" w:firstLine="0"/>
        <w:jc w:val="both"/>
      </w:pPr>
      <w:r>
        <w:rPr>
          <w:rFonts w:ascii="Times New Roman" w:hAnsi="Times New Roman" w:eastAsia="Times New Roman" w:cs="Times New Roman"/>
          <w:b/>
          <w:sz w:val="24"/>
        </w:rPr>
        <w:t>Slide 6: Duty of Loyalty — Cont.</w:t>
      </w:r>
    </w:p>
    <w:p>
      <w:pPr>
        <w:keepNext w:val="0"/>
        <w:spacing w:before="120" w:after="0" w:line="260" w:lineRule="exact"/>
        <w:ind w:right="0"/>
        <w:jc w:val="both"/>
      </w:pPr>
      <w:r>
        <w:rPr>
          <w:rFonts w:ascii="Times New Roman" w:hAnsi="Times New Roman" w:eastAsia="Times New Roman" w:cs="Times New Roman"/>
          <w:b w:val="0"/>
          <w:sz w:val="24"/>
        </w:rPr>
        <w:t>Breaches commonly occur when:</w:t>
      </w:r>
    </w:p>
    <w:p>
      <w:pPr>
        <w:keepNext w:val="0"/>
        <w:spacing w:before="120" w:after="0" w:line="260" w:lineRule="exact"/>
        <w:ind w:left="1080" w:right="0"/>
        <w:jc w:val="both"/>
      </w:pPr>
      <w:r>
        <w:rPr>
          <w:rFonts w:ascii="Times New Roman" w:hAnsi="Times New Roman" w:eastAsia="Times New Roman" w:cs="Times New Roman"/>
          <w:b w:val="0"/>
          <w:sz w:val="24"/>
        </w:rPr>
        <w:t>o</w:t>
        <w:tab/>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sits on the boards of two corporations that engage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together</w:t>
      </w:r>
    </w:p>
    <w:p>
      <w:pPr>
        <w:keepNext w:val="0"/>
        <w:spacing w:before="120" w:after="0" w:line="260" w:lineRule="exact"/>
        <w:ind w:left="1080" w:right="0"/>
        <w:jc w:val="both"/>
      </w:pPr>
      <w:r>
        <w:rPr>
          <w:rFonts w:ascii="Times New Roman" w:hAnsi="Times New Roman" w:eastAsia="Times New Roman" w:cs="Times New Roman"/>
          <w:b w:val="0"/>
          <w:sz w:val="24"/>
        </w:rPr>
        <w:t>o</w:t>
        <w:tab/>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engages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personal transaction with the corporation</w:t>
      </w:r>
    </w:p>
    <w:p>
      <w:pPr>
        <w:keepNext w:val="0"/>
        <w:spacing w:before="120" w:after="0" w:line="260" w:lineRule="exact"/>
        <w:ind w:left="1080" w:right="0"/>
        <w:jc w:val="both"/>
      </w:pPr>
      <w:r>
        <w:rPr>
          <w:rFonts w:ascii="Times New Roman" w:hAnsi="Times New Roman" w:eastAsia="Times New Roman" w:cs="Times New Roman"/>
          <w:b w:val="0"/>
          <w:sz w:val="24"/>
        </w:rPr>
        <w:t>o</w:t>
        <w:tab/>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takes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opportunity away from the corporation for their own benefit</w:t>
      </w:r>
    </w:p>
    <w:p>
      <w:pPr>
        <w:keepNext w:val="0"/>
        <w:spacing w:before="120" w:after="0" w:line="260" w:lineRule="exact"/>
        <w:ind w:left="1080" w:right="0"/>
        <w:jc w:val="both"/>
      </w:pPr>
      <w:r>
        <w:rPr>
          <w:rFonts w:ascii="Times New Roman" w:hAnsi="Times New Roman" w:eastAsia="Times New Roman" w:cs="Times New Roman"/>
          <w:b w:val="0"/>
          <w:sz w:val="24"/>
        </w:rPr>
        <w:t>o</w:t>
        <w:tab/>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influences or approves their own individual compensation</w:t>
      </w:r>
    </w:p>
    <w:p>
      <w:pPr>
        <w:keepNext w:val="0"/>
        <w:spacing w:before="120" w:after="0" w:line="260" w:lineRule="exact"/>
        <w:ind w:right="0"/>
        <w:jc w:val="both"/>
      </w:pPr>
      <w:r>
        <w:rPr>
          <w:rFonts w:ascii="Times New Roman" w:hAnsi="Times New Roman" w:eastAsia="Times New Roman" w:cs="Times New Roman"/>
          <w:b w:val="0"/>
          <w:sz w:val="24"/>
        </w:rPr>
        <w:t xml:space="preserve">The duty of loyalty is especially sensitive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M&amp;</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context</w:t>
      </w:r>
    </w:p>
    <w:p>
      <w:pPr>
        <w:keepNext w:val="0"/>
        <w:spacing w:before="200" w:after="0" w:line="260" w:lineRule="exact"/>
        <w:ind w:left="0" w:right="0" w:firstLine="0"/>
        <w:jc w:val="both"/>
      </w:pPr>
      <w:r>
        <w:rPr>
          <w:rFonts w:ascii="Times New Roman" w:hAnsi="Times New Roman" w:eastAsia="Times New Roman" w:cs="Times New Roman"/>
          <w:b/>
          <w:sz w:val="24"/>
        </w:rPr>
        <w:t>Slide 7: Duty of Loyalty — Interested Directors</w:t>
      </w:r>
    </w:p>
    <w:p>
      <w:pPr>
        <w:keepNext w:val="0"/>
        <w:spacing w:before="120" w:after="0" w:line="260" w:lineRule="exact"/>
        <w:ind w:right="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financial or personal interest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with the company is considered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interested director</w:t>
      </w:r>
    </w:p>
    <w:p>
      <w:pPr>
        <w:keepNext w:val="0"/>
        <w:spacing w:before="120" w:after="0" w:line="260" w:lineRule="exact"/>
        <w:ind w:right="0"/>
        <w:jc w:val="both"/>
      </w:pPr>
      <w:r>
        <w:rPr>
          <w:rFonts w:ascii="Times New Roman" w:hAnsi="Times New Roman" w:eastAsia="Times New Roman" w:cs="Times New Roman"/>
          <w:b/>
          <w:sz w:val="24"/>
        </w:rPr>
        <w:t>Some</w:t>
      </w:r>
      <w:r>
        <w:rPr>
          <w:rFonts w:ascii="Times New Roman" w:hAnsi="Times New Roman" w:eastAsia="Times New Roman" w:cs="Times New Roman"/>
          <w:b w:val="0"/>
          <w:sz w:val="24"/>
        </w:rPr>
        <w:t xml:space="preserve"> transactions involving interested directors are permissible if approved by any of the following:</w:t>
      </w:r>
    </w:p>
    <w:p>
      <w:pPr>
        <w:keepNext w:val="0"/>
        <w:spacing w:before="120" w:after="0" w:line="260" w:lineRule="exact"/>
        <w:ind w:left="1080" w:right="0"/>
        <w:jc w:val="both"/>
      </w:pPr>
      <w:r>
        <w:rPr>
          <w:rFonts w:ascii="Times New Roman" w:hAnsi="Times New Roman" w:eastAsia="Times New Roman" w:cs="Times New Roman"/>
          <w:b w:val="0"/>
          <w:sz w:val="24"/>
        </w:rPr>
        <w:t>o</w:t>
        <w:tab/>
        <w:t>The board, minus any interested directors</w:t>
      </w:r>
    </w:p>
    <w:p>
      <w:pPr>
        <w:keepNext w:val="0"/>
        <w:spacing w:before="120" w:after="0" w:line="260" w:lineRule="exact"/>
        <w:ind w:left="1080" w:right="0"/>
        <w:jc w:val="both"/>
      </w:pPr>
      <w:r>
        <w:rPr>
          <w:rFonts w:ascii="Times New Roman" w:hAnsi="Times New Roman" w:eastAsia="Times New Roman" w:cs="Times New Roman"/>
          <w:b w:val="0"/>
          <w:sz w:val="24"/>
        </w:rPr>
        <w:t>o</w:t>
        <w:tab/>
        <w:t>The stockholders, minus any interested stockholders</w:t>
      </w:r>
    </w:p>
    <w:p>
      <w:pPr>
        <w:keepNext w:val="0"/>
        <w:spacing w:before="120" w:after="0" w:line="260" w:lineRule="exact"/>
        <w:ind w:left="1080" w:right="0"/>
        <w:jc w:val="both"/>
      </w:pPr>
      <w:r>
        <w:rPr>
          <w:rFonts w:ascii="Times New Roman" w:hAnsi="Times New Roman" w:eastAsia="Times New Roman" w:cs="Times New Roman"/>
          <w:b w:val="0"/>
          <w:sz w:val="24"/>
        </w:rPr>
        <w:t>o</w:t>
        <w:tab/>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third-party “fairness opinion”</w:t>
      </w:r>
    </w:p>
    <w:p>
      <w:pPr>
        <w:keepNext w:val="0"/>
        <w:spacing w:before="120" w:after="0" w:line="260" w:lineRule="exact"/>
        <w:ind w:right="0"/>
        <w:jc w:val="both"/>
      </w:pPr>
      <w:r>
        <w:rPr>
          <w:rFonts w:ascii="Times New Roman" w:hAnsi="Times New Roman" w:eastAsia="Times New Roman" w:cs="Times New Roman"/>
          <w:b w:val="0"/>
          <w:sz w:val="24"/>
        </w:rPr>
        <w:t>Ways to demonstrate independence:</w:t>
      </w:r>
    </w:p>
    <w:p>
      <w:pPr>
        <w:keepNext w:val="0"/>
        <w:spacing w:before="120" w:after="0" w:line="260" w:lineRule="exact"/>
        <w:ind w:left="1080" w:right="0"/>
        <w:jc w:val="both"/>
      </w:pPr>
      <w:r>
        <w:rPr>
          <w:rFonts w:ascii="Times New Roman" w:hAnsi="Times New Roman" w:eastAsia="Times New Roman" w:cs="Times New Roman"/>
          <w:b w:val="0"/>
          <w:sz w:val="24"/>
        </w:rPr>
        <w:t>o</w:t>
        <w:tab/>
        <w:t xml:space="preserve">Create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board committee of disinterested directors</w:t>
      </w:r>
    </w:p>
    <w:p>
      <w:pPr>
        <w:keepNext w:val="0"/>
        <w:spacing w:before="120" w:after="0" w:line="260" w:lineRule="exact"/>
        <w:ind w:left="1080" w:right="0"/>
        <w:jc w:val="both"/>
      </w:pPr>
      <w:r>
        <w:rPr>
          <w:rFonts w:ascii="Times New Roman" w:hAnsi="Times New Roman" w:eastAsia="Times New Roman" w:cs="Times New Roman"/>
          <w:b w:val="0"/>
          <w:sz w:val="24"/>
        </w:rPr>
        <w:t>o</w:t>
        <w:tab/>
        <w:t>Engage third-party board advisors</w:t>
      </w:r>
    </w:p>
    <w:p>
      <w:pPr>
        <w:keepNext w:val="0"/>
        <w:spacing w:before="120" w:after="0" w:line="260" w:lineRule="exact"/>
        <w:ind w:left="1080" w:right="0"/>
        <w:jc w:val="both"/>
      </w:pPr>
      <w:r>
        <w:rPr>
          <w:rFonts w:ascii="Times New Roman" w:hAnsi="Times New Roman" w:eastAsia="Times New Roman" w:cs="Times New Roman"/>
          <w:b w:val="0"/>
          <w:sz w:val="24"/>
        </w:rPr>
        <w:t>o</w:t>
        <w:tab/>
        <w:t>Exclude interested directors from the relevant votes</w:t>
      </w:r>
    </w:p>
    <w:p>
      <w:pPr>
        <w:keepNext w:val="0"/>
        <w:spacing w:before="200" w:after="0" w:line="260" w:lineRule="exact"/>
        <w:ind w:left="0" w:right="0" w:firstLine="0"/>
        <w:jc w:val="both"/>
      </w:pPr>
      <w:r>
        <w:rPr>
          <w:rFonts w:ascii="Times New Roman" w:hAnsi="Times New Roman" w:eastAsia="Times New Roman" w:cs="Times New Roman"/>
          <w:b/>
          <w:sz w:val="24"/>
        </w:rPr>
        <w:t>Slide 8: The Business Judgment Rule (BJR)</w:t>
      </w:r>
    </w:p>
    <w:p>
      <w:pPr>
        <w:keepNext w:val="0"/>
        <w:spacing w:before="120" w:after="0" w:line="260" w:lineRule="exact"/>
        <w:ind w:right="0"/>
        <w:jc w:val="both"/>
      </w:pPr>
      <w:r>
        <w:rPr>
          <w:rFonts w:ascii="Times New Roman" w:hAnsi="Times New Roman" w:eastAsia="Times New Roman" w:cs="Times New Roman"/>
          <w:b w:val="0"/>
          <w:sz w:val="24"/>
        </w:rPr>
        <w:t>Protects directors from personal liability for actions taken and decisions made on behalf of the corporation, even when the effect is detrimental to the company’s position</w:t>
      </w:r>
    </w:p>
    <w:p>
      <w:pPr>
        <w:keepNext w:val="0"/>
        <w:spacing w:before="120" w:after="0" w:line="260" w:lineRule="exact"/>
        <w:ind w:right="0"/>
        <w:jc w:val="both"/>
      </w:pPr>
      <w:r>
        <w:rPr>
          <w:rFonts w:ascii="Times New Roman" w:hAnsi="Times New Roman" w:eastAsia="Times New Roman" w:cs="Times New Roman"/>
          <w:b w:val="0"/>
          <w:sz w:val="24"/>
        </w:rPr>
        <w:t>The court will look at the method and circumstances in which the decision was made</w:t>
      </w:r>
    </w:p>
    <w:p>
      <w:pPr>
        <w:keepNext w:val="0"/>
        <w:spacing w:before="120" w:after="0" w:line="260" w:lineRule="exact"/>
        <w:ind w:right="0"/>
        <w:jc w:val="both"/>
      </w:pPr>
      <w:r>
        <w:rPr>
          <w:rFonts w:ascii="Times New Roman" w:hAnsi="Times New Roman" w:eastAsia="Times New Roman" w:cs="Times New Roman"/>
          <w:b w:val="0"/>
          <w:sz w:val="24"/>
        </w:rPr>
        <w:t xml:space="preserve">If the court determines the board’s action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rational business purpose, it will not analyze the business decision itself </w:t>
      </w:r>
    </w:p>
    <w:p>
      <w:pPr>
        <w:keepNext w:val="0"/>
        <w:spacing w:before="120" w:after="0" w:line="260" w:lineRule="exact"/>
        <w:ind w:right="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rational business purpose requires all of the following:</w:t>
      </w:r>
    </w:p>
    <w:p>
      <w:pPr>
        <w:keepNext w:val="0"/>
        <w:spacing w:before="120" w:after="0" w:line="260" w:lineRule="exact"/>
        <w:ind w:left="1080" w:right="0"/>
        <w:jc w:val="both"/>
      </w:pPr>
      <w:r>
        <w:rPr>
          <w:rFonts w:ascii="Times New Roman" w:hAnsi="Times New Roman" w:eastAsia="Times New Roman" w:cs="Times New Roman"/>
          <w:b w:val="0"/>
          <w:sz w:val="24"/>
        </w:rPr>
        <w:t>o</w:t>
        <w:tab/>
        <w:t>Both duties of care and loyalty were upheld</w:t>
      </w:r>
    </w:p>
    <w:p>
      <w:pPr>
        <w:keepNext w:val="0"/>
        <w:spacing w:before="120" w:after="0" w:line="260" w:lineRule="exact"/>
        <w:ind w:left="1080" w:right="0"/>
        <w:jc w:val="both"/>
      </w:pPr>
      <w:r>
        <w:rPr>
          <w:rFonts w:ascii="Times New Roman" w:hAnsi="Times New Roman" w:eastAsia="Times New Roman" w:cs="Times New Roman"/>
          <w:b w:val="0"/>
          <w:sz w:val="24"/>
        </w:rPr>
        <w:t>o</w:t>
        <w:tab/>
        <w:t>The board’s action was not objectively irrational</w:t>
      </w:r>
    </w:p>
    <w:p>
      <w:pPr>
        <w:keepNext w:val="0"/>
        <w:spacing w:before="120" w:after="0" w:line="260" w:lineRule="exact"/>
        <w:ind w:left="1080" w:right="0"/>
        <w:jc w:val="both"/>
      </w:pPr>
      <w:r>
        <w:rPr>
          <w:rFonts w:ascii="Times New Roman" w:hAnsi="Times New Roman" w:eastAsia="Times New Roman" w:cs="Times New Roman"/>
          <w:b w:val="0"/>
          <w:sz w:val="24"/>
        </w:rPr>
        <w:t>o</w:t>
        <w:tab/>
        <w:t>The board’s action was not prohibited by the company’s charter or bylaws</w:t>
      </w:r>
    </w:p>
    <w:p>
      <w:pPr>
        <w:keepNext w:val="0"/>
        <w:spacing w:before="200" w:after="0" w:line="260" w:lineRule="exact"/>
        <w:ind w:left="0" w:right="0" w:firstLine="0"/>
        <w:jc w:val="both"/>
      </w:pPr>
      <w:r>
        <w:rPr>
          <w:rFonts w:ascii="Times New Roman" w:hAnsi="Times New Roman" w:eastAsia="Times New Roman" w:cs="Times New Roman"/>
          <w:b/>
          <w:sz w:val="24"/>
        </w:rPr>
        <w:t>Slide 9: The Business Judgment Rule — Cont.</w:t>
      </w:r>
    </w:p>
    <w:p>
      <w:pPr>
        <w:keepNext w:val="0"/>
        <w:spacing w:before="120" w:after="0" w:line="260" w:lineRule="exact"/>
        <w:ind w:right="0"/>
        <w:jc w:val="both"/>
      </w:pPr>
      <w:r>
        <w:rPr>
          <w:rFonts w:ascii="Times New Roman" w:hAnsi="Times New Roman" w:eastAsia="Times New Roman" w:cs="Times New Roman"/>
          <w:b w:val="0"/>
          <w:sz w:val="24"/>
        </w:rPr>
        <w:t xml:space="preserve">BJR is </w:t>
      </w:r>
      <w:r>
        <w:rPr>
          <w:rFonts w:ascii="Times New Roman" w:hAnsi="Times New Roman" w:eastAsia="Times New Roman" w:cs="Times New Roman"/>
          <w:b/>
          <w:sz w:val="24"/>
        </w:rPr>
        <w:t>not</w:t>
      </w:r>
      <w:r>
        <w:rPr>
          <w:rFonts w:ascii="Times New Roman" w:hAnsi="Times New Roman" w:eastAsia="Times New Roman" w:cs="Times New Roman"/>
          <w:b w:val="0"/>
          <w:sz w:val="24"/>
        </w:rPr>
        <w:t xml:space="preserve"> applied when self-interested directors</w:t>
      </w:r>
    </w:p>
    <w:p>
      <w:pPr>
        <w:keepNext w:val="0"/>
        <w:spacing w:before="120" w:after="0" w:line="260" w:lineRule="exact"/>
        <w:ind w:left="1080" w:right="0"/>
        <w:jc w:val="both"/>
      </w:pPr>
      <w:r>
        <w:rPr>
          <w:rFonts w:ascii="Times New Roman" w:hAnsi="Times New Roman" w:eastAsia="Times New Roman" w:cs="Times New Roman"/>
          <w:b w:val="0"/>
          <w:sz w:val="24"/>
        </w:rPr>
        <w:t>o</w:t>
        <w:tab/>
        <w:t xml:space="preserve">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board </w:t>
      </w:r>
    </w:p>
    <w:p>
      <w:pPr>
        <w:keepNext w:val="0"/>
        <w:spacing w:before="120" w:after="0" w:line="260" w:lineRule="exact"/>
        <w:ind w:left="1080" w:right="0"/>
        <w:jc w:val="both"/>
      </w:pPr>
      <w:r>
        <w:rPr>
          <w:rFonts w:ascii="Times New Roman" w:hAnsi="Times New Roman" w:eastAsia="Times New Roman" w:cs="Times New Roman"/>
          <w:b w:val="0"/>
          <w:sz w:val="24"/>
        </w:rPr>
        <w:t>o</w:t>
        <w:tab/>
        <w:t>Dominate or control the board</w:t>
      </w:r>
    </w:p>
    <w:p>
      <w:pPr>
        <w:keepNext w:val="0"/>
        <w:spacing w:before="120" w:after="0" w:line="260" w:lineRule="exact"/>
        <w:ind w:left="1080" w:right="0"/>
        <w:jc w:val="both"/>
      </w:pPr>
      <w:r>
        <w:rPr>
          <w:rFonts w:ascii="Times New Roman" w:hAnsi="Times New Roman" w:eastAsia="Times New Roman" w:cs="Times New Roman"/>
          <w:b w:val="0"/>
          <w:sz w:val="24"/>
        </w:rPr>
        <w:t>o</w:t>
        <w:tab/>
        <w:t>Fail to disclose their interest in the transaction to the whole board</w:t>
      </w:r>
    </w:p>
    <w:p>
      <w:pPr>
        <w:keepNext w:val="0"/>
        <w:spacing w:before="120" w:after="0" w:line="260" w:lineRule="exact"/>
        <w:ind w:right="0"/>
        <w:jc w:val="both"/>
      </w:pPr>
      <w:r>
        <w:rPr>
          <w:rFonts w:ascii="Times New Roman" w:hAnsi="Times New Roman" w:eastAsia="Times New Roman" w:cs="Times New Roman"/>
          <w:b w:val="0"/>
          <w:sz w:val="24"/>
        </w:rPr>
        <w:t xml:space="preserve">If the court does not apply the BJR, the standard becomes “entire fairness,” which requires, broadly,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fair decision-making process and fair terms in the relevant transaction</w:t>
      </w:r>
    </w:p>
    <w:p>
      <w:pPr>
        <w:keepNext w:val="0"/>
        <w:spacing w:before="120" w:after="0" w:line="260" w:lineRule="exact"/>
        <w:ind w:right="0"/>
        <w:jc w:val="both"/>
      </w:pPr>
      <w:r>
        <w:rPr>
          <w:rFonts w:ascii="Times New Roman" w:hAnsi="Times New Roman" w:eastAsia="Times New Roman" w:cs="Times New Roman"/>
          <w:b w:val="0"/>
          <w:sz w:val="24"/>
        </w:rPr>
        <w:t xml:space="preserve">“Entire fairness”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much heavier burden of proof than the BJR</w:t>
      </w:r>
    </w:p>
    <w:p>
      <w:pPr>
        <w:keepNext w:val="0"/>
        <w:spacing w:before="120" w:after="0" w:line="260" w:lineRule="exact"/>
        <w:ind w:right="0"/>
        <w:jc w:val="both"/>
      </w:pPr>
      <w:r>
        <w:rPr>
          <w:rFonts w:ascii="Times New Roman" w:hAnsi="Times New Roman" w:eastAsia="Times New Roman" w:cs="Times New Roman"/>
          <w:b w:val="0"/>
          <w:sz w:val="24"/>
        </w:rPr>
        <w:t xml:space="preserve">Courts apply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intermediate standard in certain M&amp;</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contexts, even when there is no breach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 duty</w:t>
      </w:r>
    </w:p>
    <w:p>
      <w:pPr>
        <w:keepNext w:val="0"/>
        <w:spacing w:before="200" w:after="0" w:line="260" w:lineRule="exact"/>
        <w:ind w:left="0" w:right="0" w:firstLine="0"/>
        <w:jc w:val="both"/>
      </w:pPr>
      <w:r>
        <w:rPr>
          <w:rFonts w:ascii="Times New Roman" w:hAnsi="Times New Roman" w:eastAsia="Times New Roman" w:cs="Times New Roman"/>
          <w:b/>
          <w:sz w:val="24"/>
        </w:rPr>
        <w:t>Slide 10: Limitations of Liability and Exculpatory Provisions</w:t>
      </w:r>
    </w:p>
    <w:p>
      <w:pPr>
        <w:keepNext w:val="0"/>
        <w:spacing w:before="120" w:after="0" w:line="260" w:lineRule="exact"/>
        <w:ind w:right="0"/>
        <w:jc w:val="both"/>
      </w:pPr>
      <w:r>
        <w:rPr>
          <w:rFonts w:ascii="Times New Roman" w:hAnsi="Times New Roman" w:eastAsia="Times New Roman" w:cs="Times New Roman"/>
          <w:b w:val="0"/>
          <w:sz w:val="24"/>
        </w:rPr>
        <w:t>Directors may be held personally liable for breaches</w:t>
      </w:r>
    </w:p>
    <w:p>
      <w:pPr>
        <w:keepNext w:val="0"/>
        <w:spacing w:before="120" w:after="0" w:line="260" w:lineRule="exact"/>
        <w:ind w:right="0"/>
        <w:jc w:val="both"/>
      </w:pPr>
      <w:r>
        <w:rPr>
          <w:rFonts w:ascii="Times New Roman" w:hAnsi="Times New Roman" w:eastAsia="Times New Roman" w:cs="Times New Roman"/>
          <w:b w:val="0"/>
          <w:sz w:val="24"/>
        </w:rPr>
        <w:t>Delaware corporations may include provisions in their certificate of incorporation that remove or limit their directors’ personal liability to the corporation or shareholders. D.G.C.L. § 102(b)(7)</w:t>
      </w:r>
    </w:p>
    <w:p>
      <w:pPr>
        <w:keepNext w:val="0"/>
        <w:spacing w:before="120" w:after="0" w:line="260" w:lineRule="exact"/>
        <w:ind w:right="0"/>
        <w:jc w:val="both"/>
      </w:pPr>
      <w:r>
        <w:rPr>
          <w:rFonts w:ascii="Times New Roman" w:hAnsi="Times New Roman" w:eastAsia="Times New Roman" w:cs="Times New Roman"/>
          <w:b w:val="0"/>
          <w:sz w:val="24"/>
        </w:rPr>
        <w:t>These limitation or exclusion provisions may not apply to the following conduct:</w:t>
      </w:r>
    </w:p>
    <w:p>
      <w:pPr>
        <w:keepNext w:val="0"/>
        <w:spacing w:before="120" w:after="0" w:line="260" w:lineRule="exact"/>
        <w:ind w:left="1080" w:right="0"/>
        <w:jc w:val="both"/>
      </w:pPr>
      <w:r>
        <w:rPr>
          <w:rFonts w:ascii="Times New Roman" w:hAnsi="Times New Roman" w:eastAsia="Times New Roman" w:cs="Times New Roman"/>
          <w:b w:val="0"/>
          <w:sz w:val="24"/>
        </w:rPr>
        <w:t>o</w:t>
        <w:tab/>
        <w:t>Breaches of the duty of loyalty</w:t>
      </w:r>
    </w:p>
    <w:p>
      <w:pPr>
        <w:keepNext w:val="0"/>
        <w:spacing w:before="120" w:after="0" w:line="260" w:lineRule="exact"/>
        <w:ind w:left="1080" w:right="0"/>
        <w:jc w:val="both"/>
      </w:pPr>
      <w:r>
        <w:rPr>
          <w:rFonts w:ascii="Times New Roman" w:hAnsi="Times New Roman" w:eastAsia="Times New Roman" w:cs="Times New Roman"/>
          <w:b w:val="0"/>
          <w:sz w:val="24"/>
        </w:rPr>
        <w:t>o</w:t>
        <w:tab/>
        <w:t>Failures to act in good faith, intentional misconduct, or violations of the law</w:t>
      </w:r>
    </w:p>
    <w:p>
      <w:pPr>
        <w:keepNext w:val="0"/>
        <w:spacing w:before="120" w:after="0" w:line="260" w:lineRule="exact"/>
        <w:ind w:left="1080" w:right="0"/>
        <w:jc w:val="both"/>
      </w:pPr>
      <w:r>
        <w:rPr>
          <w:rFonts w:ascii="Times New Roman" w:hAnsi="Times New Roman" w:eastAsia="Times New Roman" w:cs="Times New Roman"/>
          <w:b w:val="0"/>
          <w:sz w:val="24"/>
        </w:rPr>
        <w:t>o</w:t>
        <w:tab/>
        <w:t>Improper payment of dividends</w:t>
      </w:r>
    </w:p>
    <w:p>
      <w:pPr>
        <w:keepNext w:val="0"/>
        <w:spacing w:before="120" w:after="0" w:line="260" w:lineRule="exact"/>
        <w:ind w:left="1080" w:right="0"/>
        <w:jc w:val="both"/>
      </w:pPr>
      <w:r>
        <w:rPr>
          <w:rFonts w:ascii="Times New Roman" w:hAnsi="Times New Roman" w:eastAsia="Times New Roman" w:cs="Times New Roman"/>
          <w:b w:val="0"/>
          <w:sz w:val="24"/>
        </w:rPr>
        <w:t>o</w:t>
        <w:tab/>
        <w:t>Transactions in which the director personally benefitted</w:t>
      </w:r>
    </w:p>
    <w:p>
      <w:pPr>
        <w:keepNext w:val="0"/>
        <w:spacing w:before="120" w:after="0" w:line="260" w:lineRule="exact"/>
        <w:ind w:right="0"/>
        <w:jc w:val="both"/>
      </w:pPr>
      <w:r>
        <w:rPr>
          <w:rFonts w:ascii="Times New Roman" w:hAnsi="Times New Roman" w:eastAsia="Times New Roman" w:cs="Times New Roman"/>
          <w:b w:val="0"/>
          <w:sz w:val="24"/>
        </w:rPr>
        <w:t>State law also generally permits the use of indemnification provisions (D.G.C.L. § 145) and director &amp; officer insurance policies</w:t>
      </w:r>
    </w:p>
    <w:p>
      <w:pPr>
        <w:keepNext w:val="0"/>
        <w:spacing w:before="200" w:after="0" w:line="260" w:lineRule="exact"/>
        <w:ind w:left="0" w:right="0" w:firstLine="0"/>
        <w:jc w:val="both"/>
      </w:pPr>
      <w:r>
        <w:rPr>
          <w:rFonts w:ascii="Times New Roman" w:hAnsi="Times New Roman" w:eastAsia="Times New Roman" w:cs="Times New Roman"/>
          <w:b/>
          <w:sz w:val="24"/>
        </w:rPr>
        <w:t>Slide 11: Questions</w:t>
      </w:r>
    </w:p>
    <w:p>
      <w:pPr>
        <w:keepNext w:val="0"/>
        <w:spacing w:before="120" w:after="0" w:line="260" w:lineRule="exact"/>
        <w:ind w:right="0"/>
        <w:jc w:val="both"/>
      </w:pPr>
      <w:r>
        <w:rPr>
          <w:rFonts w:ascii="Times New Roman" w:hAnsi="Times New Roman" w:eastAsia="Times New Roman" w:cs="Times New Roman"/>
          <w:b w:val="0"/>
          <w:sz w:val="24"/>
        </w:rPr>
        <w:t>[Contact information]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