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First Day Utilities Motion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MOTION OF DEBTORS FOR ENTRY OF INTERIM AND FINAL ORDERS (I) PROHIBITING UTILITIES FROM ALTERING, REFUSING, OR DISCONTINUING SERVICE, (II) APPROVING DEBTORS' PROPOSED FORM OF ADEQUATE ASSURANCE OF PAYMENT, (III) ESTABLISHING PROCEDURES FOR DETERMINING ADEQUATE ASSURANCE OF PAYMENT, AND (IV) SCHEDULING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FINAL HEARING</w:t>
      </w:r>
    </w:p>
    <w:p>
      <w:pPr>
        <w:keepNext w:val="0"/>
        <w:spacing w:before="200" w:after="0" w:line="260" w:lineRule="exact"/>
        <w:ind w:left="720" w:right="0" w:firstLine="0"/>
        <w:jc w:val="both"/>
      </w:pPr>
      <w:r>
        <w:rPr>
          <w:rFonts w:ascii="Times New Roman" w:hAnsi="Times New Roman" w:eastAsia="Times New Roman" w:cs="Times New Roman"/>
          <w:b w:val="0"/>
          <w:sz w:val="24"/>
        </w:rPr>
        <w:t>[Name of debtors], as debtors and debtors in possession in the above-captioned chapter 11 cases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order (the "</w:t>
      </w:r>
      <w:r>
        <w:rPr>
          <w:rFonts w:ascii="Times New Roman" w:hAnsi="Times New Roman" w:eastAsia="Times New Roman" w:cs="Times New Roman"/>
          <w:b w:val="0"/>
          <w:sz w:val="24"/>
        </w:rPr>
        <w:t>Interim Order</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(the "</w:t>
      </w:r>
      <w:r>
        <w:rPr>
          <w:rFonts w:ascii="Times New Roman" w:hAnsi="Times New Roman" w:eastAsia="Times New Roman" w:cs="Times New Roman"/>
          <w:b w:val="0"/>
          <w:sz w:val="24"/>
        </w:rPr>
        <w:t>Final Order</w:t>
      </w:r>
      <w:r>
        <w:rPr>
          <w:rFonts w:ascii="Times New Roman" w:hAnsi="Times New Roman" w:eastAsia="Times New Roman" w:cs="Times New Roman"/>
          <w:b w:val="0"/>
          <w:sz w:val="24"/>
        </w:rPr>
        <w:t xml:space="preserve">"), substantially in the forms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Exhibit B, determining adequate assurance of payment for future utility services. In support of this Motion, the Debtors respectfully state as follows:</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Court has jurisdiction over this matter pursuant to 28 U.S.C. §§ 157 and 1334. This matter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within the meaning of 28 U.S.C. § 157(b)(2).</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in this District pursuant to 28 U.S.C. §§ 1408 and 1409.</w:t>
      </w:r>
    </w:p>
    <w:p>
      <w:pPr>
        <w:keepNext w:val="0"/>
        <w:spacing w:before="120" w:after="0" w:line="260" w:lineRule="exact"/>
        <w:ind w:left="108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xml:space="preserve">"), each of the Debtors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for relief under chapter 11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The Debtors continue to operate their businesses and manage their properties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1108 of the Bankruptcy Code. Concurrently herewith, the Debtors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seeking joint administration of these chapter 11 cases pursuant to Rule 1015(b)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set forth in the Declaration of [name of declarant] in support of First Day Motions (the "</w:t>
      </w:r>
      <w:r>
        <w:rPr>
          <w:rFonts w:ascii="Times New Roman" w:hAnsi="Times New Roman" w:eastAsia="Times New Roman" w:cs="Times New Roman"/>
          <w:b w:val="0"/>
          <w:sz w:val="24"/>
        </w:rPr>
        <w:t>Declaration</w:t>
      </w:r>
      <w:r>
        <w:rPr>
          <w:rFonts w:ascii="Times New Roman" w:hAnsi="Times New Roman" w:eastAsia="Times New Roman" w:cs="Times New Roman"/>
          <w:b w:val="0"/>
          <w:sz w:val="24"/>
        </w:rPr>
        <w:t>"), the Debtors, along with their non-Debtor affiliates and subsidiaries (collectively,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[Describe nature of business, locations, number of employees, etc.]</w:t>
      </w:r>
    </w:p>
    <w:p>
      <w:pPr>
        <w:keepNext w:val="0"/>
        <w:spacing w:before="120" w:after="0" w:line="260" w:lineRule="exact"/>
        <w:ind w:left="1080" w:right="0" w:firstLine="0"/>
        <w:jc w:val="left"/>
      </w:pPr>
      <w:r>
        <w:rPr>
          <w:rFonts w:ascii="Times New Roman" w:hAnsi="Times New Roman" w:eastAsia="Times New Roman" w:cs="Times New Roman"/>
          <w:b/>
          <w:sz w:val="24"/>
        </w:rPr>
        <w:t>The Utility Companies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connection with the operation of their businesses and management of their properties, the Debtors obtain gas, water, waste, recycling, electric, telecommunications and other utility services (the "</w:t>
      </w:r>
      <w:r>
        <w:rPr>
          <w:rFonts w:ascii="Times New Roman" w:hAnsi="Times New Roman" w:eastAsia="Times New Roman" w:cs="Times New Roman"/>
          <w:b w:val="0"/>
          <w:sz w:val="24"/>
        </w:rPr>
        <w:t>Utility Services</w:t>
      </w:r>
      <w:r>
        <w:rPr>
          <w:rFonts w:ascii="Times New Roman" w:hAnsi="Times New Roman" w:eastAsia="Times New Roman" w:cs="Times New Roman"/>
          <w:b w:val="0"/>
          <w:sz w:val="24"/>
        </w:rPr>
        <w:t>") from approximately [number] utility companies (collectively, the "</w:t>
      </w:r>
      <w:r>
        <w:rPr>
          <w:rFonts w:ascii="Times New Roman" w:hAnsi="Times New Roman" w:eastAsia="Times New Roman" w:cs="Times New Roman"/>
          <w:b w:val="0"/>
          <w:sz w:val="24"/>
        </w:rPr>
        <w:t>Utility Providers</w:t>
      </w:r>
      <w:r>
        <w:rPr>
          <w:rFonts w:ascii="Times New Roman" w:hAnsi="Times New Roman" w:eastAsia="Times New Roman" w:cs="Times New Roman"/>
          <w:b w:val="0"/>
          <w:sz w:val="24"/>
        </w:rPr>
        <w:t xml:space="preserve">"). Attached hereto as Schedule I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Utility Providers (the "</w:t>
      </w:r>
      <w:r>
        <w:rPr>
          <w:rFonts w:ascii="Times New Roman" w:hAnsi="Times New Roman" w:eastAsia="Times New Roman" w:cs="Times New Roman"/>
          <w:b w:val="0"/>
          <w:sz w:val="24"/>
        </w:rPr>
        <w:t>Utility Service List</w:t>
      </w:r>
      <w:r>
        <w:rPr>
          <w:rFonts w:ascii="Times New Roman" w:hAnsi="Times New Roman" w:eastAsia="Times New Roman" w:cs="Times New Roman"/>
          <w:b w:val="0"/>
          <w:sz w:val="24"/>
        </w:rPr>
        <w:t>"). On average, the Debtors pay approximately [$dollar amount] each month in utility costs. As of the Petition Date, the Debtors estimate that approximately [$dollar amount] in utility costs may have accrued and remain outstanding. The Debtors do not believe that they owe any past due amounts to the Utility Providers.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Utility services are important to the Debtors' ongoing business operations and the success of their reorganization. Thus, it is critical that Utility Services continue uninterrupted during these chapter 11 cases.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Proposed Adequate Assurance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propose to pay post-petition obligations owed to the Utility Providers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The Debtors expect that cash flow from operations, cash on hand, and post-petition financing will be sufficient to satisfy post-petition obligations related to their utility services.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Nevertheless, to provide the Utility Providers with additional assurance of payment for future services, the Debtors propose to deposit [$dollar amount] (the "</w:t>
      </w:r>
      <w:r>
        <w:rPr>
          <w:rFonts w:ascii="Times New Roman" w:hAnsi="Times New Roman" w:eastAsia="Times New Roman" w:cs="Times New Roman"/>
          <w:b w:val="0"/>
          <w:sz w:val="24"/>
        </w:rPr>
        <w:t>Adequate Assurance Deposit</w:t>
      </w:r>
      <w:r>
        <w:rPr>
          <w:rFonts w:ascii="Times New Roman" w:hAnsi="Times New Roman" w:eastAsia="Times New Roman" w:cs="Times New Roman"/>
          <w:b w:val="0"/>
          <w:sz w:val="24"/>
        </w:rPr>
        <w:t xml:space="preserve">")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created, segregated, interest-bearing account (the "</w:t>
      </w:r>
      <w:r>
        <w:rPr>
          <w:rFonts w:ascii="Times New Roman" w:hAnsi="Times New Roman" w:eastAsia="Times New Roman" w:cs="Times New Roman"/>
          <w:b w:val="0"/>
          <w:sz w:val="24"/>
        </w:rPr>
        <w:t>Utility Deposit Account</w:t>
      </w:r>
      <w:r>
        <w:rPr>
          <w:rFonts w:ascii="Times New Roman" w:hAnsi="Times New Roman" w:eastAsia="Times New Roman" w:cs="Times New Roman"/>
          <w:b w:val="0"/>
          <w:sz w:val="24"/>
        </w:rPr>
        <w:t xml:space="preserve">") for the benefit of Utility Providers, except those Utility Providers that (i) agree in writing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amount, or (ii) already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equal to, or greater than, [two weeks] of Utility Services. This Adequate Assurance Deposit is equal to the estimated aggregate cost for [two weeks] of utility services, calculated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historical average over the past [twelve] months. The Debtors propose to establish the Utility Deposit Account on or before the date that is 25 days after the Petition Date. Each Utility Provider shall be entitled to the funds in the Utility Deposit Account in the amount set forth for such Utility Provider in the column labeled "Proposed Adequate Assurance" on the Utility Services List.</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submit that the Adequate Assurance Deposit, in conjunction with the Debtors' ability to pay for future utility services in the ordinary course of business (together, the "</w:t>
      </w:r>
      <w:r>
        <w:rPr>
          <w:rFonts w:ascii="Times New Roman" w:hAnsi="Times New Roman" w:eastAsia="Times New Roman" w:cs="Times New Roman"/>
          <w:b w:val="0"/>
          <w:sz w:val="24"/>
        </w:rPr>
        <w:t>Proposed Adequate Assurance</w:t>
      </w:r>
      <w:r>
        <w:rPr>
          <w:rFonts w:ascii="Times New Roman" w:hAnsi="Times New Roman" w:eastAsia="Times New Roman" w:cs="Times New Roman"/>
          <w:b w:val="0"/>
          <w:sz w:val="24"/>
        </w:rPr>
        <w:t>"), constitutes sufficient adequate assurance to the Utility Providers. If, however, any Utility Provider believes that additional assurance is required, that Utility Provider may request such additional assurance pursuant to the procedures set forth below.</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Adequate Assurance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foregoing proposed adequate assurance, the Debtors anticipate that certain Utility Providers may not find the Adequate Assurance Deposit, coupled with the Debtors' ability to pay for future Utility Services in the ordinary course of their business, "satisfactory" and, thus, may request additional adequate assurance of payment pursuant to section 366(c)(2) of the Bankruptcy Code. In light of the consequences that any interruption of the Debtors' Utility Services would have on their businesses and reorganization process, while at the same time recognizing the Utility Providers' right to evaluate the Proposed Adequate Assurance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the Debtors propose that the Court approve and adopt the following procedures (the "</w:t>
      </w:r>
      <w:r>
        <w:rPr>
          <w:rFonts w:ascii="Times New Roman" w:hAnsi="Times New Roman" w:eastAsia="Times New Roman" w:cs="Times New Roman"/>
          <w:b w:val="0"/>
          <w:sz w:val="24"/>
        </w:rPr>
        <w:t>Adequate Assurance Procedures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provided by these Additional Assurance Procedures, the Utility Providers are forbidden to discontinue, alter, or refuse service on account of any unpaid prepetition charges, or require additional adequate assurance of payment other than the Adequate Assurance Deposit.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Debtors shall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Motion, the Interim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Adequate Assurance Procedures (substantially in the form of Exhibit 1 annexed to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the Utility Service List (substantially in the form attached hereto as Schedule I) and Final Hearing Notice (substantially in the form of Exhibit 2 annexed to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on each Utility Provider listed on the Utility Service List no later than three business days after the date the Interim Order is entered.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those Utility Providers that are added to the Utility Service List after the entry of the Interim Order, the Debtors will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Motion, the Interim Order or the Final Order (substantially in the form attached hereto as Exhibit B), as appropriate, the Adequate Assurance Procedures, the Utility Service List and the Final Hearing Notice on such subsequently added Utility Provider.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Provider is not satisfied with the Proposed Adequate Assurance and seeks additional assurance of payment in the form of deposits, prepayments or otherwise, such Utility Provider must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Assurance Request</w:t>
      </w:r>
      <w:r>
        <w:rPr>
          <w:rFonts w:ascii="Times New Roman" w:hAnsi="Times New Roman" w:eastAsia="Times New Roman" w:cs="Times New Roman"/>
          <w:b w:val="0"/>
          <w:sz w:val="24"/>
        </w:rPr>
        <w:t>") upon [debtor and counsel's name and address] [counsel to the official committee of unsecured creditors (if any) appointed in these chapter 11 cases] [lenders] [the U.S. Trustee] (collectively, the "</w:t>
      </w:r>
      <w:r>
        <w:rPr>
          <w:rFonts w:ascii="Times New Roman" w:hAnsi="Times New Roman" w:eastAsia="Times New Roman" w:cs="Times New Roman"/>
          <w:b w:val="0"/>
          <w:sz w:val="24"/>
        </w:rPr>
        <w:t>Notice Parties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Additional Assurance Request must be made and actually received by the Notice Parties, by no later than [21] days after [the Petition Date] [or] [entry of the Interim Order by the Court], or such greater period as may be agreed to by the Debtors and the relevant Utility Provider.</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Debtors'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Assurance Request, the Debtors shall have the greater of (i) 20 days from the receipt of the Additional Assurance Request or (ii) 30 days from the Petition Date (collectively, the "</w:t>
      </w:r>
      <w:r>
        <w:rPr>
          <w:rFonts w:ascii="Times New Roman" w:hAnsi="Times New Roman" w:eastAsia="Times New Roman" w:cs="Times New Roman"/>
          <w:b w:val="0"/>
          <w:sz w:val="24"/>
        </w:rPr>
        <w:t>Resolution Period</w:t>
      </w:r>
      <w:r>
        <w:rPr>
          <w:rFonts w:ascii="Times New Roman" w:hAnsi="Times New Roman" w:eastAsia="Times New Roman" w:cs="Times New Roman"/>
          <w:b w:val="0"/>
          <w:sz w:val="24"/>
        </w:rPr>
        <w:t>") to negotiate with the Utility Provider to resolve the Utility Provider's Additional Assurance Request.</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Debtors may, in their sole discretion, resolve any Additional Assurance Request by mutual agreement with the Utility Provider and without further order of the Court, and may, in connection with any such agreement, in their sole discretion,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Provider with additional adequate assurance of future payment, including cash deposits, prepayments or other forms of security.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Debtors determine, however, that the Additional Assurance Request is not reasonable and are not able to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resolution with the Utility Provider during the Resolution Period, the Debtors, during or immediately after the Resolution Period, will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before the Court to determine the adequacy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assurance payment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Utility Provider (the "</w:t>
      </w:r>
      <w:r>
        <w:rPr>
          <w:rFonts w:ascii="Times New Roman" w:hAnsi="Times New Roman" w:eastAsia="Times New Roman" w:cs="Times New Roman"/>
          <w:b w:val="0"/>
          <w:sz w:val="24"/>
        </w:rPr>
        <w:t>Determination Hearing</w:t>
      </w:r>
      <w:r>
        <w:rPr>
          <w:rFonts w:ascii="Times New Roman" w:hAnsi="Times New Roman" w:eastAsia="Times New Roman" w:cs="Times New Roman"/>
          <w:b w:val="0"/>
          <w:sz w:val="24"/>
        </w:rPr>
        <w:t>") pursuant to Section 366(c)(3) of the Bankruptcy Code.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Pending resolution of any Determination Hearing, the Utility Provider that provided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Assurance Request shall be prohibited from altering, refusing or discontinuing service to the Debtors on account of: (i) unpaid charges for prepetition services;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pending Adequate Assurance Request; or (iii) any objections filed in response to the Proposed Adequate Assurance.</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Proposed Adequate Assurance shall be deemed adequate assurance of payment for any Utility Provider that does not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Assurance Request.</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balance of the Adequate Assurance Deposit in the Utility Deposit Account shall be returned to the Debtors at the conclusion of these chapter 11 cases.</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Absent compliance with the Adequate Assurance Procedures, the Debtors request that the Utility Providers, including subsequently added Utility Providers, be forbidden from altering, refusing or discontinuing service on account of any prepetition charges, or require additional assurance of payment other than the Proposed Adequate Assurance pending entry of the Final Order.</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 Hearing Date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Before the enactment of the Bankruptcy Abuse and Consumer Protection Act of 2005 (the "</w:t>
      </w:r>
      <w:r>
        <w:rPr>
          <w:rFonts w:ascii="Times New Roman" w:hAnsi="Times New Roman" w:eastAsia="Times New Roman" w:cs="Times New Roman"/>
          <w:b w:val="0"/>
          <w:sz w:val="24"/>
        </w:rPr>
        <w:t>BAPCPA</w:t>
      </w:r>
      <w:r>
        <w:rPr>
          <w:rFonts w:ascii="Times New Roman" w:hAnsi="Times New Roman" w:eastAsia="Times New Roman" w:cs="Times New Roman"/>
          <w:b w:val="0"/>
          <w:sz w:val="24"/>
        </w:rPr>
        <w:t>"), Section 366 of the Bankruptcy Code allowed chapter 11 debtors to place the onus on utility providers to argue that the Debtors' proposed form of adequate assurance was insufficient. As described in more detail below, however, Section 366 of the Bankruptcy Code, as amended by BAPCPA, arguably shifts the burden onto debtors to provide adequate assurance the utility provider finds satisfactory and to seek court review if the utility provider does not accept the proposed adequate assurance.</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Under this reading of revised Section 366 of the Bankruptcy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Provider could, theoretically, on the 29th day following the Petition Date, announce that the Proposed Adequate Assurance is not acceptable and demand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extraordinary deposit or prepayment from the Debtors and threaten to terminate utility service the next day unless the Debtors comply with the demand. Although the Debtors do not concede that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reading of revised Section 366 of the Bankruptcy Code, the Debtors nevertheless believe that it is prudent to require Utility Providers to raise any objections to the Proposed Adequate Assurance and the proposed Adequate Assurance Procedures so that objections may be heard within the first 30 days of the Petition Date. Thus, the Debtors propose that any Utility Provider that objects to this Motion, must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objection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Objection</w:t>
      </w:r>
      <w:r>
        <w:rPr>
          <w:rFonts w:ascii="Times New Roman" w:hAnsi="Times New Roman" w:eastAsia="Times New Roman" w:cs="Times New Roman"/>
          <w:b w:val="0"/>
          <w:sz w:val="24"/>
        </w:rPr>
        <w:t>") and serve such Objection on the Notice Parties so as to be actually received no later than [time] on the day that is [number] days [after the Petition Date] [or] [prior to the date of the Final Hearing].</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resolve any Objections to the Proposed Adequate Assurance and the proposed Adequate Assurance Procedures within 30 days after the Petition Date, the Debtors request that the Court schedule the final hearing (the "</w:t>
      </w:r>
      <w:r>
        <w:rPr>
          <w:rFonts w:ascii="Times New Roman" w:hAnsi="Times New Roman" w:eastAsia="Times New Roman" w:cs="Times New Roman"/>
          <w:b w:val="0"/>
          <w:sz w:val="24"/>
        </w:rPr>
        <w:t>Final Hearing</w:t>
      </w:r>
      <w:r>
        <w:rPr>
          <w:rFonts w:ascii="Times New Roman" w:hAnsi="Times New Roman" w:eastAsia="Times New Roman" w:cs="Times New Roman"/>
          <w:b w:val="0"/>
          <w:sz w:val="24"/>
        </w:rPr>
        <w:t xml:space="preserve">") approximately 25 days after the Petition Date. The Debtors shall send notice of the Final Hearing, substantially in the form of Exhibit 2 annexed to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along with the Interim Order to all Utility Providers identified on the Utility Service List no later than three business days after entry of the Interim Order.</w:t>
      </w:r>
    </w:p>
    <w:p>
      <w:pPr>
        <w:keepNext w:val="0"/>
        <w:spacing w:before="120" w:after="0" w:line="260" w:lineRule="exact"/>
        <w:ind w:left="108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this Motion, the Debtors seek the entry of the Interim Order and the Final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determining that the Utility Providers have been provided with adequate assurance of payment within the meaning of Section 366 of the Bankruptcy Code; (b) approving the Debtors' Proposed Adequate Assurance and Adequate Assurance Procedures governing the Utility Providers' requests for additional or different adequate assurance; (c) prohibiting the Utility Providers from alerting, refusing or discontinuing services on account of prepetition amounts outstanding or any perceived inadequacy of the Debtors' Proposed Adequate Assurance, pending entry of the Final Order; (d) determining that the Debtors are not required to provide any additional adequate assurance beyond what is proposed by this Motion, pending entry of the Final Order; and (e) setting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Hearing on the Debtors' Proposed Adequate Assurance.</w:t>
      </w:r>
    </w:p>
    <w:p>
      <w:pPr>
        <w:keepNext w:val="0"/>
        <w:spacing w:before="120" w:after="0" w:line="260" w:lineRule="exact"/>
        <w:ind w:left="1080" w:right="0" w:firstLine="0"/>
        <w:jc w:val="left"/>
      </w:pPr>
      <w:r>
        <w:rPr>
          <w:rFonts w:ascii="Times New Roman" w:hAnsi="Times New Roman" w:eastAsia="Times New Roman" w:cs="Times New Roman"/>
          <w:b/>
          <w:sz w:val="24"/>
        </w:rPr>
        <w:t>Basis for Relief</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of the Proposed Adequate Assurance is Appropriate under Sections 105(</w:t>
      </w:r>
      <w:r>
        <w:rPr>
          <w:rFonts w:ascii="Times New Roman" w:hAnsi="Times New Roman" w:eastAsia="Times New Roman" w:cs="Times New Roman"/>
          <w:b/>
          <w:sz w:val="24"/>
        </w:rPr>
        <w:t>a</w:t>
      </w:r>
      <w:r>
        <w:rPr>
          <w:rFonts w:ascii="Times New Roman" w:hAnsi="Times New Roman" w:eastAsia="Times New Roman" w:cs="Times New Roman"/>
          <w:b/>
          <w:sz w:val="24"/>
        </w:rPr>
        <w:t>) and 366 of the Bankruptcy Code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Approval of the Proposed Adequate Assurance, including the Adequate Assurance Deposit and the Adequate Assurance Procedures, is appropriate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and 366 of the Bankruptcy Code. Specifically,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provides that the Court "may issue any order, process or judgment that is necessary or appropriate to carry out the provisions of [the Bankruptcy Code]." The purpose of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is "to assure the bankruptcy courts [sic] power to take whatever action is appropriate or necessary in aid of the exercise of their jurisdiction." 2 COLLIER ON BANKRUPTCY ¶ 105.01 (15th ed. Rev. 2007). In addition, Section 366(</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may not alter, refuse or discontinue service to, or discriminate against, the trustee or the debtor solely on the basis of the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under this title 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owed by the debtor to such utility for service rendered before the order for relief was not paid when due." 11 U.S.C. § 366(</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Sections 366(b) and (c), however, provide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may discontinue services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after specified periods where the Debtor has failed to provide adequate assurance of payment for future services. Specifically, Section 366(b) of the Bankruptcy Code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provider "may alter, refuse, or discontinue service if neither the trustee nor the debtor, within 20 days after the date of the order for relief, furnishes adequate assurance of payment, in the form of deposit or other security, for services after such date." 11 U.S.C. § 366(c)(2).</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Congress enacted Section 366 of the Bankruptcy Code to protect debtors from utility service cutoffs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filing, while at the same time providing utility companies with adequate assurance that the debtors will pay for post-petition services. See H.R. Rep. No. 95-595, at 350 (1978), reprinted in 1978 U.S.C.C.</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5963, 6306. Accordingly, Section 366 of the Bankruptcy Code protects debtors by prohibiting utilities from altering, refusing or discontinuing services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solely on account of unpaid prepetition amounts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20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filing. At the same time, Section 366 of the Bankruptcy Code protects utilities by permitting them to alter, refuse or discontinue service after 30 days if the debtor has not furnished "adequate assurance" of payment in form "satisfactory" to the utility provider.</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Section 366(c) of the Bankruptcy Code also restricts the factors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may consider when determining whether adequate assurance is, in fact, adequate. Specifically, courts no longer may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deposit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petition date;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history of timely payments; or (c) the availability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expense priority when determining the amount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11 U.S.C. § 366(c). Notwithstanding these changes, it does not appear that Congress intended to - or did - abrogate the bankruptcy court's ability to determine the amount of adequate assurance necessary or change the fundamental requirement that assurance of payment must simply be "adequate."</w:t>
      </w:r>
    </w:p>
    <w:p>
      <w:pPr>
        <w:keepNext w:val="0"/>
        <w:spacing w:before="120" w:after="0" w:line="260" w:lineRule="exact"/>
        <w:ind w:left="1800" w:right="0" w:firstLine="0"/>
        <w:jc w:val="left"/>
      </w:pPr>
      <w:r>
        <w:rPr>
          <w:rFonts w:ascii="Times New Roman" w:hAnsi="Times New Roman" w:eastAsia="Times New Roman" w:cs="Times New Roman"/>
          <w:b w:val="0"/>
          <w:sz w:val="24"/>
        </w:rPr>
        <w:t>20.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Thus, while Section 366(c) of the Bankruptcy Code limits the factors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can consider when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has provided adequate assurance of payment, it does not limit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court's ability to determine the appropriate amount of assurance of payment. Instead, Section 366(c) of the Bankruptcy Code gives courts the same discretion in determining the amount necessary for adequate assurance that they previously had under Section 366(b) of the Bankruptcy Code. Compare 11 U.S.C. § 366(b) (2005) ("On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and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 Court may order reasonable modification of the amount of the deposit or other security necessary to provide adequate assurance of payment."), with 11 U.S.C. § 366(c)(3)(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(2005) ("On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and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 court may order modification of the amount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assurance payment under paragraph (2)."), and In re Circuit City Stores, Inc., 2009 Bankr. LEXIS 237, at *15-16 (Bankr. E.D. Va. Jan. 14, 2009) ("Section 366(c)(3) uses language almost identical as that employed in § 366(b) in allowing courts to modify the amount of adequate assurance. It follows that courts retain similar discretion even after the enactment of the BAPCPA.").</w:t>
      </w:r>
    </w:p>
    <w:p>
      <w:pPr>
        <w:keepNext w:val="0"/>
        <w:spacing w:before="120" w:after="0" w:line="260" w:lineRule="exact"/>
        <w:ind w:left="1800" w:right="0" w:firstLine="0"/>
        <w:jc w:val="left"/>
      </w:pPr>
      <w:r>
        <w:rPr>
          <w:rFonts w:ascii="Times New Roman" w:hAnsi="Times New Roman" w:eastAsia="Times New Roman" w:cs="Times New Roman"/>
          <w:b w:val="0"/>
          <w:sz w:val="24"/>
        </w:rPr>
        <w:t>21.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Further, section 366 of the Bankruptcy Code requires only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provider's assurance of future payment be "adequate." 11 U.S.C., § 366. Courts recognize that adequate assurance of performance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guarantee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ability to pay. See, e.g., Circuit City, 2009 Bankr. LEXIS 237, at *13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need not provide utility companies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guarantee of payment."); see also In re Robert E. Steinebach, Jr., et al., 303 B.R. 634, 641 (Bankr. D. Ariz. 2003) ("Adequate assurance of payment is not, however, absolute assurance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is not required to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company the equivalent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payment, but must only determine that the utility is not subject to any unreasonable risk of non-payment for postpetition services.") (citing In re Adelphia Bus. Solutions, Inc., et al., 280 B.R. 63, 80 (Bankr. S.D.N.Y. 2002)); see also In re Caldor, Inc.-N.Y., et al., 199 B.R. 1, 3 (Bankr. S.D.N.Y. 1996) (section 366(b) "does not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guarantee of payment' "), aff'd sub nom., Virginia Elec. &amp; Power Co. v. Caldor, Inc.- N.Y., 117 F.3d 646 (2d Cir. 1997).</w:t>
      </w:r>
    </w:p>
    <w:p>
      <w:pPr>
        <w:keepNext w:val="0"/>
        <w:spacing w:before="120" w:after="0" w:line="260" w:lineRule="exact"/>
        <w:ind w:left="1800" w:right="0" w:firstLine="0"/>
        <w:jc w:val="left"/>
      </w:pPr>
      <w:r>
        <w:rPr>
          <w:rFonts w:ascii="Times New Roman" w:hAnsi="Times New Roman" w:eastAsia="Times New Roman" w:cs="Times New Roman"/>
          <w:b w:val="0"/>
          <w:sz w:val="24"/>
        </w:rPr>
        <w:t>22.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Courts also have recognized that, in determining the requisite level of adequate assurance, bankruptcy courts should "focus upon the need of the utility for assurance, and to require that the debtor supply no more than that, since the debtor almost perforce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conflicting need to conserve scarce financial resources." Virginia Elec. &amp; Power Co., 117 F.3d at 650; see also In re Penn. Cent. Transp. Co., 467 F.2d 100, 103-04 (3d Cir. 1972) (affirming bankruptcy court's ruling that no utility deposits were necessary where such deposits likely would "jeopardize the continuing operation of the [debtor] merely to give further security to suppliers who already are reasonably protected"). Accordingly, demands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provider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payment should be refused when the debtor's specific circumstances already afford adequate assurance of payment.</w:t>
      </w:r>
    </w:p>
    <w:p>
      <w:pPr>
        <w:keepNext w:val="0"/>
        <w:spacing w:before="120" w:after="0" w:line="260" w:lineRule="exact"/>
        <w:ind w:left="1800" w:right="0" w:firstLine="0"/>
        <w:jc w:val="left"/>
      </w:pPr>
      <w:r>
        <w:rPr>
          <w:rFonts w:ascii="Times New Roman" w:hAnsi="Times New Roman" w:eastAsia="Times New Roman" w:cs="Times New Roman"/>
          <w:b w:val="0"/>
          <w:sz w:val="24"/>
        </w:rPr>
        <w:t>23.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Debtors submit that the Proposed Adequate Assurance provides more than adequate assurance of payment to the Utility Providers. [Contemporaneously herewith, the Debtors are seeking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post-petition financing agreement that will enable them to pay their operating costs, including utility costs, as they come due. The Debtors anticipate having sufficient resources to pay, and intend to pay, all valid post-petition obligations for utility services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especially considering that the aggregate amount of the Debtors' utility obligations is not overwhelming.] In addition, the Debtors' reliance on utility services for the operation of their businesses provides them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powerful incentive to stay current on their utility obligations. These factors, which the Court may (and should) consider when determining the amount of any adequate assurance payments, justify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that the Proposed Adequate Assurance is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24.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Further, the proposed Adequate Assurance Procedures are necessary for the Debtors to carry out their restructuring efforts. If the Adequate Assurance Procedures are not approved, the Debtors could be forced to address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multitude of requests by their Utility Providers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disorganized manner at critical points in their chapter 11 cases. In addition, the Debtors could be blindsided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Provider unilaterally deciding—on or after the 30th day following the Petition Date—that it is not adequately protected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discontinuing service or making exorbitant demands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providing further service. Courts have recognized the importance of implementing procedures 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process to determine whether the debtors proposed assurance of future payment is adequate under section 366 of the Bankruptcy Code in order to prevent cutoff of utility services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critical point in the reorganization process. See, e.g., Circuit City, 2009 Bankr. LEXIS 237, at *19 (recognizing that without such procedures "debtors could be forced to address numerous requests by utility companies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unorganized manner" and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process is necessary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smooth transition in chapter 11); see also In re Syroco Inc., 374 B.R. 60 (Bankr. D.P.R. 2007) (noting that prohibiting the use of reasonable procedures to implement the protections afforded under section 366 of the Bankruptcy Code threatens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efforts to reorganize). Discontinuation of utility services, particularly telecommunications or electricity services, at any given location, could jeopardize the Debtors' [ability to respond and distribute products and services to their customers], which could essentially shut down the Debtors' operations. Any significant disruption of operations could put the Debtors' restructuring efforts in jeopardy.</w:t>
      </w:r>
    </w:p>
    <w:p>
      <w:pPr>
        <w:keepNext w:val="0"/>
        <w:spacing w:before="120" w:after="0" w:line="260" w:lineRule="exact"/>
        <w:ind w:left="1800" w:right="0" w:firstLine="0"/>
        <w:jc w:val="left"/>
      </w:pPr>
      <w:r>
        <w:rPr>
          <w:rFonts w:ascii="Times New Roman" w:hAnsi="Times New Roman" w:eastAsia="Times New Roman" w:cs="Times New Roman"/>
          <w:b w:val="0"/>
          <w:sz w:val="24"/>
        </w:rPr>
        <w:t>25.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Courts in this jurisdiction have approved the relief requested in this Motion in similar chapter 11 cases. [cite case examples]. The Debtors submit that similar relief is warranted in these chapter 11 cases.</w:t>
      </w:r>
    </w:p>
    <w:p>
      <w:pPr>
        <w:keepNext w:val="0"/>
        <w:spacing w:before="120" w:after="0" w:line="260" w:lineRule="exact"/>
        <w:ind w:left="1080" w:right="0" w:firstLine="0"/>
        <w:jc w:val="left"/>
      </w:pPr>
      <w:r>
        <w:rPr>
          <w:rFonts w:ascii="Times New Roman" w:hAnsi="Times New Roman" w:eastAsia="Times New Roman" w:cs="Times New Roman"/>
          <w:b/>
          <w:sz w:val="24"/>
        </w:rPr>
        <w:t>Bankruptcy Rule 6003 Requirements are Satisfied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request that the Court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hearing on the Motion and,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 grant the relief requested in this Motion. Pursuant to Bankruptcy Rule 6003, the Court may grant relief within 21 days after the Petition Date if the relief is necessary to avoid immediate and irreparable harm. Here, the relief requested is necessary in order to maintain and preserve the ongoing operations of the Debtors and to avoid immediate and irreparable harm for the reasons stated herein. Accordingly, the Debtors submit they have satisfied the requirements of Bankruptcy Rule 6003 to support relief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w:t>
      </w:r>
    </w:p>
    <w:p>
      <w:pPr>
        <w:keepNext w:val="0"/>
        <w:spacing w:before="120" w:after="0" w:line="260" w:lineRule="exact"/>
        <w:ind w:left="1080" w:right="0" w:firstLine="0"/>
        <w:jc w:val="left"/>
      </w:pPr>
      <w:r>
        <w:rPr>
          <w:rFonts w:ascii="Times New Roman" w:hAnsi="Times New Roman" w:eastAsia="Times New Roman" w:cs="Times New Roman"/>
          <w:b/>
          <w:sz w:val="24"/>
        </w:rPr>
        <w:t>Waiver of Bankruptcy Rule 6004</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request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providing that notice of the relief requested herein satisfies Bankruptcy Rule 6004(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Debtors further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stay of the effectiveness of the order approving this Motion. Pursuant to Rule 6004(h) of the Bankruptcy Rules,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order authorizing the use, sale, or lease of property other than cash collateral is stayed until the expiration of fourteen (14) days after entry of the order, unless the court orders otherwise." As set forth above, the relief the Debtors seek in this Motion is needed for the Debtors to operate their businesses without interruption and to preserve value for their estates and the ability to reorganize. Accordingly, the Debtors submit that ample cause exists to justify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14 day stay imposed by Bankruptcy Rule 6004(h), to the extent it applies.</w:t>
      </w:r>
    </w:p>
    <w:p>
      <w:pPr>
        <w:keepNext w:val="0"/>
        <w:spacing w:before="120" w:after="0" w:line="260" w:lineRule="exact"/>
        <w:ind w:left="1080" w:right="0" w:firstLine="0"/>
        <w:jc w:val="left"/>
      </w:pP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 of the first day hearing on this Motion has been provided to the following parties or, in lieu thereof, to their counsel, if known: (</w:t>
      </w:r>
      <w:r>
        <w:rPr>
          <w:rFonts w:ascii="Times New Roman" w:hAnsi="Times New Roman" w:eastAsia="Times New Roman" w:cs="Times New Roman"/>
          <w:b/>
          <w:sz w:val="24"/>
        </w:rPr>
        <w:t>a</w:t>
      </w:r>
      <w:r>
        <w:rPr>
          <w:rFonts w:ascii="Times New Roman" w:hAnsi="Times New Roman" w:eastAsia="Times New Roman" w:cs="Times New Roman"/>
          <w:b w:val="0"/>
          <w:sz w:val="24"/>
        </w:rPr>
        <w:t>) the Office of the United States Trustee for the District of [state]; (b) the entities listed on the Consolidated List of Creditors Holding the 30 Largest Unsecured Claims; (c) [the agent for the proposed post-petition financing agreement]; (d) [the Banks]; (e) the Internal Revenue Service; (f) [the Securities and Exchange Commission]; and (g) the Office of the United States Attorney General for the State of [state]. Following the first day hearing in these cases, the Motion and, any order entered on the Motion,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the foregoing parties; (b) those persons who have requested notice pursuant to Rule 2002 of the Federal Rules of Bankruptcy Procedure; and (c) any other persons as required by [cite local rule]. The Debtors submit that, in light of the relief requested, no other or further notice need be provided.</w:t>
      </w:r>
    </w:p>
    <w:p>
      <w:pPr>
        <w:keepNext w:val="0"/>
        <w:spacing w:before="120" w:after="0" w:line="260" w:lineRule="exact"/>
        <w:ind w:left="1080" w:right="0" w:firstLine="0"/>
        <w:jc w:val="left"/>
      </w:pPr>
      <w:r>
        <w:rPr>
          <w:rFonts w:ascii="Times New Roman" w:hAnsi="Times New Roman" w:eastAsia="Times New Roman" w:cs="Times New Roman"/>
          <w:b/>
          <w:sz w:val="24"/>
        </w:rPr>
        <w:t>No Prior Request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prior request for the relief sought herein has been made to this or any other court.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WHEREFORE, the Debtors respectfully request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granting the relief requested herein and such other and further relief as is just.</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Dated: [date]</w:t>
      </w:r>
    </w:p>
    <w:p>
      <w:pPr>
        <w:keepNext w:val="0"/>
        <w:spacing w:before="200" w:after="0" w:line="260" w:lineRule="exact"/>
        <w:ind w:left="1080" w:right="0" w:firstLine="0"/>
        <w:jc w:val="both"/>
      </w:pPr>
      <w:r>
        <w:rPr>
          <w:rFonts w:ascii="Times New Roman" w:hAnsi="Times New Roman" w:eastAsia="Times New Roman" w:cs="Times New Roman"/>
          <w:b w:val="0"/>
          <w:sz w:val="24"/>
        </w:rPr>
        <w:t>[Law firm]</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1080" w:right="0" w:firstLine="0"/>
        <w:jc w:val="left"/>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1080" w:right="0" w:firstLine="0"/>
        <w:jc w:val="left"/>
      </w:pPr>
      <w:r>
        <w:rPr>
          <w:rFonts w:ascii="Times New Roman" w:hAnsi="Times New Roman" w:eastAsia="Times New Roman" w:cs="Times New Roman"/>
          <w:b w:val="0"/>
          <w:sz w:val="24"/>
        </w:rPr>
        <w:t>[fax]</w:t>
      </w:r>
    </w:p>
    <w:p>
      <w:pPr>
        <w:keepNext w:val="0"/>
        <w:spacing w:before="120" w:after="0" w:line="260" w:lineRule="exact"/>
        <w:ind w:left="108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