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Form 13H</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Form 13H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reporting form for “large traders” (persons whose transactions in publicly traded securities equal or exceed: (i) two million shares or $20 million in any calendar day, or (ii) 20 million shares or $200 million in any calendar month) to disclose and periodically update their trading activities to the Securities and Exchange Commission. Large traders must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Form 13H filing promptly (generally within 10 days) after reaching designated trading volume or value levels. Filed Forms 13H are not publicly available.</w:t>
      </w:r>
    </w:p>
    <w:p>
      <w:pPr>
        <w:keepNext w:val="0"/>
        <w:spacing w:before="200" w:after="0" w:line="260" w:lineRule="exact"/>
        <w:ind w:left="0" w:right="0" w:firstLine="0"/>
        <w:jc w:val="both"/>
      </w:pPr>
      <w:r>
        <w:rPr>
          <w:rFonts w:ascii="Times New Roman" w:hAnsi="Times New Roman" w:eastAsia="Times New Roman" w:cs="Times New Roman"/>
          <w:b w:val="0"/>
          <w:sz w:val="24"/>
        </w:rPr>
        <w:t>For additional information on Form 13H, including the information required to be reported on Form 13H and the types of Form 13H filings (e.g., initial, interim, and amended) that must be made, see:</w:t>
      </w:r>
    </w:p>
    <w:p>
      <w:pPr>
        <w:keepNext w:val="0"/>
        <w:spacing w:before="120" w:after="0" w:line="260" w:lineRule="exact"/>
        <w:ind w:right="0"/>
        <w:jc w:val="both"/>
      </w:pPr>
      <w:r>
        <w:rPr>
          <w:rFonts w:ascii="Times New Roman" w:hAnsi="Times New Roman" w:eastAsia="Times New Roman" w:cs="Times New Roman"/>
          <w:b w:val="0"/>
          <w:sz w:val="24"/>
        </w:rPr>
        <w:t>SEC Reporting Obligations for Large Traders under Rule 13h-1</w:t>
      </w:r>
    </w:p>
    <w:p>
      <w:pPr>
        <w:keepNext w:val="0"/>
        <w:spacing w:before="120" w:after="0" w:line="260" w:lineRule="exact"/>
        <w:ind w:right="0"/>
        <w:jc w:val="both"/>
      </w:pPr>
      <w:r>
        <w:rPr>
          <w:rFonts w:ascii="Times New Roman" w:hAnsi="Times New Roman" w:eastAsia="Times New Roman" w:cs="Times New Roman"/>
          <w:b w:val="0"/>
          <w:sz w:val="24"/>
        </w:rPr>
        <w:t>Reporting and Recordkeeping Requirements of Hedge Funds</w:t>
      </w:r>
    </w:p>
    <w:p>
      <w:pPr>
        <w:keepNext w:val="0"/>
        <w:spacing w:before="200" w:after="0" w:line="260" w:lineRule="exact"/>
        <w:ind w:left="0" w:right="0" w:firstLine="0"/>
        <w:jc w:val="both"/>
      </w:pPr>
      <w:r>
        <w:rPr>
          <w:rFonts w:ascii="Times New Roman" w:hAnsi="Times New Roman" w:eastAsia="Times New Roman" w:cs="Times New Roman"/>
          <w:b w:val="0"/>
          <w:sz w:val="24"/>
        </w:rPr>
        <w:t>[Click here] for the official SEC form.</w:t>
      </w:r>
    </w:p>
    <w:p>
      <w:pPr>
        <w:keepNext w:val="0"/>
        <w:spacing w:before="200" w:after="0" w:line="260" w:lineRule="exact"/>
        <w:ind w:left="0" w:right="0" w:firstLine="0"/>
        <w:jc w:val="both"/>
      </w:pPr>
      <w:r>
        <w:rPr>
          <w:rFonts w:ascii="Times New Roman" w:hAnsi="Times New Roman" w:eastAsia="Times New Roman" w:cs="Times New Roman"/>
          <w:b w:val="0"/>
          <w:sz w:val="24"/>
        </w:rPr>
        <w:t>[Click here] for responses to the SEC’s Frequently Asked Questions regarding Form 13H and large traders.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