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Form of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REGISTERED</w:t>
      </w:r>
    </w:p>
    <w:p>
      <w:pPr>
        <w:keepNext w:val="0"/>
        <w:spacing w:before="200" w:after="0" w:line="260" w:lineRule="exact"/>
        <w:ind w:left="360" w:right="0" w:firstLine="0"/>
        <w:jc w:val="both"/>
      </w:pPr>
      <w:r>
        <w:rPr>
          <w:rFonts w:ascii="Times New Roman" w:hAnsi="Times New Roman" w:eastAsia="Times New Roman" w:cs="Times New Roman"/>
          <w:b w:val="0"/>
          <w:sz w:val="24"/>
        </w:rPr>
        <w:t>$[__]</w:t>
      </w:r>
    </w:p>
    <w:p>
      <w:pPr>
        <w:keepNext w:val="0"/>
        <w:spacing w:before="200" w:after="0" w:line="260" w:lineRule="exact"/>
        <w:ind w:left="360" w:right="0" w:firstLine="0"/>
        <w:jc w:val="both"/>
      </w:pPr>
      <w:r>
        <w:rPr>
          <w:rFonts w:ascii="Times New Roman" w:hAnsi="Times New Roman" w:eastAsia="Times New Roman" w:cs="Times New Roman"/>
          <w:b w:val="0"/>
          <w:sz w:val="24"/>
        </w:rPr>
        <w:t>No. [__]</w:t>
      </w:r>
    </w:p>
    <w:p>
      <w:pPr>
        <w:keepNext w:val="0"/>
        <w:spacing w:before="200" w:after="0" w:line="260" w:lineRule="exact"/>
        <w:ind w:left="360" w:right="0" w:firstLine="0"/>
        <w:jc w:val="both"/>
      </w:pPr>
      <w:r>
        <w:rPr>
          <w:rFonts w:ascii="Times New Roman" w:hAnsi="Times New Roman" w:eastAsia="Times New Roman" w:cs="Times New Roman"/>
          <w:b w:val="0"/>
          <w:sz w:val="24"/>
        </w:rPr>
        <w:t>SEE REVERSE FOR CERTAIN DEFINITIONS</w:t>
      </w:r>
    </w:p>
    <w:p>
      <w:pPr>
        <w:keepNext w:val="0"/>
        <w:spacing w:before="200" w:after="0" w:line="260" w:lineRule="exact"/>
        <w:ind w:left="360" w:right="0" w:firstLine="0"/>
        <w:jc w:val="both"/>
      </w:pPr>
      <w:r>
        <w:rPr>
          <w:rFonts w:ascii="Times New Roman" w:hAnsi="Times New Roman" w:eastAsia="Times New Roman" w:cs="Times New Roman"/>
          <w:b w:val="0"/>
          <w:sz w:val="24"/>
        </w:rPr>
        <w:t>CUSIP NO. [__]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Unless this Note is presented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Depository Trust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w:t>
      </w:r>
      <w:r>
        <w:rPr>
          <w:rFonts w:ascii="Times New Roman" w:hAnsi="Times New Roman" w:eastAsia="Times New Roman" w:cs="Times New Roman"/>
          <w:b w:val="0"/>
          <w:sz w:val="24"/>
        </w:rPr>
        <w:t>DTC</w:t>
      </w:r>
      <w:r>
        <w:rPr>
          <w:rFonts w:ascii="Times New Roman" w:hAnsi="Times New Roman" w:eastAsia="Times New Roman" w:cs="Times New Roman"/>
          <w:b w:val="0"/>
          <w:sz w:val="24"/>
        </w:rPr>
        <w:t xml:space="preserve">"), to the Issuer or its agent for registration of transfer, exchange or payment, and any Note issued is registered in the name of Cede &amp; Co. or in such other name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(and any payment is made to Cede &amp; Co. or to such other entity as is requested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DTC), ANY TRANSFER, PLEDGE OR OTHER USE HEREOF FOR VALUE OR OTHERWISE BY OR TO ANY PERSON IS WRONGFUL inasmuch as the registered owner hereof, Cede &amp; Co.,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herein.</w:t>
      </w:r>
    </w:p>
    <w:p>
      <w:pPr>
        <w:keepNext w:val="0"/>
        <w:spacing w:before="200" w:after="0" w:line="260" w:lineRule="exact"/>
        <w:ind w:left="360" w:right="0" w:firstLine="0"/>
        <w:jc w:val="both"/>
      </w:pPr>
      <w:r>
        <w:rPr>
          <w:rFonts w:ascii="Times New Roman" w:hAnsi="Times New Roman" w:eastAsia="Times New Roman" w:cs="Times New Roman"/>
          <w:b w:val="0"/>
          <w:sz w:val="24"/>
        </w:rPr>
        <w:t>THE PRINCIPAL OF THIS NOTE IS PAYABLE IN INSTALLMENTS AS SET FORTH HEREIN. ACCORDINGLY, THE OUTSTANDING PRINCIPAL AMOUNT OF THIS NOTE AT ANY TIME MAY BE LESS THAN THE AMOUNT SHOWN ON THE FACE HEREOF.</w:t>
      </w:r>
    </w:p>
    <w:p>
      <w:pPr>
        <w:keepNext w:val="0"/>
        <w:spacing w:before="200" w:after="0" w:line="260" w:lineRule="exact"/>
        <w:ind w:left="360" w:right="0" w:firstLine="0"/>
        <w:jc w:val="both"/>
      </w:pPr>
      <w:r>
        <w:rPr>
          <w:rFonts w:ascii="Times New Roman" w:hAnsi="Times New Roman" w:eastAsia="Times New Roman" w:cs="Times New Roman"/>
          <w:b w:val="0"/>
          <w:sz w:val="24"/>
        </w:rPr>
        <w:t>[NAME OF TRUST]</w:t>
      </w:r>
    </w:p>
    <w:p>
      <w:pPr>
        <w:keepNext w:val="0"/>
        <w:spacing w:before="200" w:after="0" w:line="260" w:lineRule="exact"/>
        <w:ind w:left="360" w:right="0" w:firstLine="0"/>
        <w:jc w:val="both"/>
      </w:pPr>
      <w:r>
        <w:rPr>
          <w:rFonts w:ascii="Times New Roman" w:hAnsi="Times New Roman" w:eastAsia="Times New Roman" w:cs="Times New Roman"/>
          <w:b w:val="0"/>
          <w:sz w:val="24"/>
        </w:rPr>
        <w:t>CLASS [__] ASSET BACKED NOTE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statutory trust organized and existing under the laws of the State of Delaware (herein referred to as the "</w:t>
      </w:r>
      <w:r>
        <w:rPr>
          <w:rFonts w:ascii="Times New Roman" w:hAnsi="Times New Roman" w:eastAsia="Times New Roman" w:cs="Times New Roman"/>
          <w:b w:val="0"/>
          <w:sz w:val="24"/>
        </w:rPr>
        <w:t>Issuer</w:t>
      </w:r>
      <w:r>
        <w:rPr>
          <w:rFonts w:ascii="Times New Roman" w:hAnsi="Times New Roman" w:eastAsia="Times New Roman" w:cs="Times New Roman"/>
          <w:b w:val="0"/>
          <w:sz w:val="24"/>
        </w:rPr>
        <w:t xml:space="preserve">"), for value received, hereby promises to pay to CEDE &amp; CO., or registered assigns, the principal sum of [__] DOLLARS payable on each Distribution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result obtained by multiplying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$[__] and the denominator of which is $[__] by (ii) the aggregate amount, if any, payable from the Note Distribution Account and Collection Account in respect of principal on the Class [__] Notes pursuant to the Indenture; provided, however, that the entire unpaid principal amount of this Note shall be due and payable on the [__] Distribution Date (the "</w:t>
      </w:r>
      <w:r>
        <w:rPr>
          <w:rFonts w:ascii="Times New Roman" w:hAnsi="Times New Roman" w:eastAsia="Times New Roman" w:cs="Times New Roman"/>
          <w:b w:val="0"/>
          <w:sz w:val="24"/>
        </w:rPr>
        <w:t>Final Scheduled Distribution Date</w:t>
      </w:r>
      <w:r>
        <w:rPr>
          <w:rFonts w:ascii="Times New Roman" w:hAnsi="Times New Roman" w:eastAsia="Times New Roman" w:cs="Times New Roman"/>
          <w:b w:val="0"/>
          <w:sz w:val="24"/>
        </w:rPr>
        <w:t xml:space="preserve">"). The Issuer will pay interest on this Note at the rate per annum shown above on each Distribution Date until the principal of this Note is paid or made available for payment. Interest on this Note will accrue for each Distribution Date from the most recent Distribution Date on which interest has been paid to but excluding such Distribution Date or, if no interest has yet been paid, from [date]. Interest will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360-day year and the actual number of days in the related Interest Period. Such principal of and interest on this Note shall be paid in the manner specified on the reverse hereof.</w:t>
      </w:r>
    </w:p>
    <w:p>
      <w:pPr>
        <w:keepNext w:val="0"/>
        <w:spacing w:before="200" w:after="0" w:line="260" w:lineRule="exact"/>
        <w:ind w:left="360" w:right="0" w:firstLine="0"/>
        <w:jc w:val="both"/>
      </w:pPr>
      <w:r>
        <w:rPr>
          <w:rFonts w:ascii="Times New Roman" w:hAnsi="Times New Roman" w:eastAsia="Times New Roman" w:cs="Times New Roman"/>
          <w:b w:val="0"/>
          <w:sz w:val="24"/>
        </w:rPr>
        <w:t>The principal of and interest on this Note are payable in such coin or currency of the United States of America as at the time of payment is legal tender for payment of public and private debts. All payments made by the Issuer with respect to this Note shall be applied first to interest due and payable on this Note as provided above and then to the unpaid principal of this Note.</w:t>
      </w:r>
    </w:p>
    <w:p>
      <w:pPr>
        <w:keepNext w:val="0"/>
        <w:spacing w:before="200" w:after="0" w:line="260" w:lineRule="exact"/>
        <w:ind w:left="360" w:right="0" w:firstLine="0"/>
        <w:jc w:val="both"/>
      </w:pPr>
      <w:r>
        <w:rPr>
          <w:rFonts w:ascii="Times New Roman" w:hAnsi="Times New Roman" w:eastAsia="Times New Roman" w:cs="Times New Roman"/>
          <w:b w:val="0"/>
          <w:sz w:val="24"/>
        </w:rPr>
        <w:t>Reference is made to the further provisions of this Note set forth on the reverse hereof, which shall have the same effect as though fully set forth on the face of this Note.</w:t>
      </w:r>
    </w:p>
    <w:p>
      <w:pPr>
        <w:keepNext w:val="0"/>
        <w:spacing w:before="200" w:after="0" w:line="260" w:lineRule="exact"/>
        <w:ind w:left="360" w:right="0" w:firstLine="0"/>
        <w:jc w:val="both"/>
      </w:pPr>
      <w:r>
        <w:rPr>
          <w:rFonts w:ascii="Times New Roman" w:hAnsi="Times New Roman" w:eastAsia="Times New Roman" w:cs="Times New Roman"/>
          <w:b w:val="0"/>
          <w:sz w:val="24"/>
        </w:rPr>
        <w:t>Unless the certificate of authentication hereon has been executed by the Trustee whose name appears below by manual signature, this Note shall not be entitled to any benefit under the Indenture referred to on the reverse hereof, or be valid or obligatory for any purpose.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Issuer has caused this instrument to be signed, manually or in facsimile, by its Authorized Officer as of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OF OWNER TRUSTEE], not in its individual capacity but solely as Owner Trustee under the Trust Agreement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TRUSTEE'S CERTIFICATE OF AUTHENTICATION</w:t>
      </w:r>
    </w:p>
    <w:p>
      <w:pPr>
        <w:keepNext w:val="0"/>
        <w:spacing w:before="200" w:after="0" w:line="260" w:lineRule="exact"/>
        <w:ind w:left="720" w:right="0" w:firstLine="0"/>
        <w:jc w:val="both"/>
      </w:pPr>
      <w:r>
        <w:rPr>
          <w:rFonts w:ascii="Times New Roman" w:hAnsi="Times New Roman" w:eastAsia="Times New Roman" w:cs="Times New Roman"/>
          <w:b w:val="0"/>
          <w:sz w:val="24"/>
        </w:rPr>
        <w:t>This is one of the Notes designated above and referred to in the within-mentioned Indenture.</w:t>
      </w:r>
    </w:p>
    <w:p>
      <w:pPr>
        <w:keepNext w:val="0"/>
        <w:spacing w:before="200" w:after="0" w:line="260" w:lineRule="exact"/>
        <w:ind w:left="720" w:right="0" w:firstLine="0"/>
        <w:jc w:val="both"/>
      </w:pPr>
      <w:r>
        <w:rPr>
          <w:rFonts w:ascii="Times New Roman" w:hAnsi="Times New Roman" w:eastAsia="Times New Roman" w:cs="Times New Roman"/>
          <w:b w:val="0"/>
          <w:sz w:val="24"/>
        </w:rPr>
        <w:t>Date: [date] [NAME OF TRUSTEE], not in its individual capacity but solely as Trustee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Authorized Signer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[REVERSE OF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Note is one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issue of Notes of the Issuer, designated as its Class [__] Asset Backed Notes (herein called the "</w:t>
      </w:r>
      <w:r>
        <w:rPr>
          <w:rFonts w:ascii="Times New Roman" w:hAnsi="Times New Roman" w:eastAsia="Times New Roman" w:cs="Times New Roman"/>
          <w:b w:val="0"/>
          <w:sz w:val="24"/>
        </w:rPr>
        <w:t>Class</w:t>
      </w:r>
      <w:r>
        <w:rPr>
          <w:rFonts w:ascii="Times New Roman" w:hAnsi="Times New Roman" w:eastAsia="Times New Roman" w:cs="Times New Roman"/>
          <w:b w:val="0"/>
          <w:sz w:val="24"/>
        </w:rPr>
        <w:t xml:space="preserve"> [__] </w:t>
      </w:r>
      <w:r>
        <w:rPr>
          <w:rFonts w:ascii="Times New Roman" w:hAnsi="Times New Roman" w:eastAsia="Times New Roman" w:cs="Times New Roman"/>
          <w:b w:val="0"/>
          <w:sz w:val="24"/>
        </w:rPr>
        <w:t>Notes</w:t>
      </w:r>
      <w:r>
        <w:rPr>
          <w:rFonts w:ascii="Times New Roman" w:hAnsi="Times New Roman" w:eastAsia="Times New Roman" w:cs="Times New Roman"/>
          <w:b w:val="0"/>
          <w:sz w:val="24"/>
        </w:rPr>
        <w:t xml:space="preserve">"), all issued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Indenture dated as of [date] (such indenture, as supplemented or amended, is herein called the "</w:t>
      </w:r>
      <w:r>
        <w:rPr>
          <w:rFonts w:ascii="Times New Roman" w:hAnsi="Times New Roman" w:eastAsia="Times New Roman" w:cs="Times New Roman"/>
          <w:b w:val="0"/>
          <w:sz w:val="24"/>
        </w:rPr>
        <w:t>Indenture</w:t>
      </w:r>
      <w:r>
        <w:rPr>
          <w:rFonts w:ascii="Times New Roman" w:hAnsi="Times New Roman" w:eastAsia="Times New Roman" w:cs="Times New Roman"/>
          <w:b w:val="0"/>
          <w:sz w:val="24"/>
        </w:rPr>
        <w:t>"), between the Issuer and [name of Trustee/Trust Collateral Agent], as trustee (the "</w:t>
      </w:r>
      <w:r>
        <w:rPr>
          <w:rFonts w:ascii="Times New Roman" w:hAnsi="Times New Roman" w:eastAsia="Times New Roman" w:cs="Times New Roman"/>
          <w:b w:val="0"/>
          <w:sz w:val="24"/>
        </w:rPr>
        <w:t>Trustee</w:t>
      </w:r>
      <w:r>
        <w:rPr>
          <w:rFonts w:ascii="Times New Roman" w:hAnsi="Times New Roman" w:eastAsia="Times New Roman" w:cs="Times New Roman"/>
          <w:b w:val="0"/>
          <w:sz w:val="24"/>
        </w:rPr>
        <w:t>," which term includes any successor Trustee under the Indenture) and as trust collateral agent (the "</w:t>
      </w:r>
      <w:r>
        <w:rPr>
          <w:rFonts w:ascii="Times New Roman" w:hAnsi="Times New Roman" w:eastAsia="Times New Roman" w:cs="Times New Roman"/>
          <w:b w:val="0"/>
          <w:sz w:val="24"/>
        </w:rPr>
        <w:t>Trust Collateral Agent</w:t>
      </w:r>
      <w:r>
        <w:rPr>
          <w:rFonts w:ascii="Times New Roman" w:hAnsi="Times New Roman" w:eastAsia="Times New Roman" w:cs="Times New Roman"/>
          <w:b w:val="0"/>
          <w:sz w:val="24"/>
        </w:rPr>
        <w:t xml:space="preserve">"), which term includes any successor Trust Collateral Agent) to which Indenture and all indentures supplemental thereto reference is hereby made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respective rights and obligations thereunder of the Issuer, the Trustee and the Holders of the Notes. The Notes are subject to all terms of the Indenture. All terms used in this Note that are defined in the Indenture, as supplemented or amended, shall have the meanings assigned to them in or pursuant to the Indenture, as so supplemented or amended.</w:t>
      </w:r>
    </w:p>
    <w:p>
      <w:pPr>
        <w:keepNext w:val="0"/>
        <w:spacing w:before="200" w:after="0" w:line="260" w:lineRule="exact"/>
        <w:ind w:left="720" w:right="0" w:firstLine="0"/>
        <w:jc w:val="both"/>
      </w:pPr>
      <w:r>
        <w:rPr>
          <w:rFonts w:ascii="Times New Roman" w:hAnsi="Times New Roman" w:eastAsia="Times New Roman" w:cs="Times New Roman"/>
          <w:b w:val="0"/>
          <w:sz w:val="24"/>
        </w:rPr>
        <w:t>The Class [</w:t>
      </w:r>
      <w:r>
        <w:rPr>
          <w:rFonts w:ascii="Times New Roman" w:hAnsi="Times New Roman" w:eastAsia="Times New Roman" w:cs="Times New Roman"/>
          <w:b/>
          <w:sz w:val="24"/>
        </w:rPr>
        <w:t>A</w:t>
      </w:r>
      <w:r>
        <w:rPr>
          <w:rFonts w:ascii="Times New Roman" w:hAnsi="Times New Roman" w:eastAsia="Times New Roman" w:cs="Times New Roman"/>
          <w:b w:val="0"/>
          <w:sz w:val="24"/>
        </w:rPr>
        <w:t>-1] Notes, Class [</w:t>
      </w:r>
      <w:r>
        <w:rPr>
          <w:rFonts w:ascii="Times New Roman" w:hAnsi="Times New Roman" w:eastAsia="Times New Roman" w:cs="Times New Roman"/>
          <w:b/>
          <w:sz w:val="24"/>
        </w:rPr>
        <w:t>A</w:t>
      </w:r>
      <w:r>
        <w:rPr>
          <w:rFonts w:ascii="Times New Roman" w:hAnsi="Times New Roman" w:eastAsia="Times New Roman" w:cs="Times New Roman"/>
          <w:b w:val="0"/>
          <w:sz w:val="24"/>
        </w:rPr>
        <w:t>-2] Notes, Class [</w:t>
      </w:r>
      <w:r>
        <w:rPr>
          <w:rFonts w:ascii="Times New Roman" w:hAnsi="Times New Roman" w:eastAsia="Times New Roman" w:cs="Times New Roman"/>
          <w:b/>
          <w:sz w:val="24"/>
        </w:rPr>
        <w:t>A</w:t>
      </w:r>
      <w:r>
        <w:rPr>
          <w:rFonts w:ascii="Times New Roman" w:hAnsi="Times New Roman" w:eastAsia="Times New Roman" w:cs="Times New Roman"/>
          <w:b w:val="0"/>
          <w:sz w:val="24"/>
        </w:rPr>
        <w:t>-3] Notes, Class [B] Notes, Class [C] Notes, Class [D] Notes, and Class [E] Notes (together, the "</w:t>
      </w:r>
      <w:r>
        <w:rPr>
          <w:rFonts w:ascii="Times New Roman" w:hAnsi="Times New Roman" w:eastAsia="Times New Roman" w:cs="Times New Roman"/>
          <w:b w:val="0"/>
          <w:sz w:val="24"/>
        </w:rPr>
        <w:t>Notes</w:t>
      </w:r>
      <w:r>
        <w:rPr>
          <w:rFonts w:ascii="Times New Roman" w:hAnsi="Times New Roman" w:eastAsia="Times New Roman" w:cs="Times New Roman"/>
          <w:b w:val="0"/>
          <w:sz w:val="24"/>
        </w:rPr>
        <w:t>") are and will be equally and ratably secured by the collateral pledged as security therefor as provided in the Indenture.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Principal of the Class [__] Notes will be payable on each Distribution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described on the face hereof. "</w:t>
      </w:r>
      <w:r>
        <w:rPr>
          <w:rFonts w:ascii="Times New Roman" w:hAnsi="Times New Roman" w:eastAsia="Times New Roman" w:cs="Times New Roman"/>
          <w:b w:val="0"/>
          <w:sz w:val="24"/>
        </w:rPr>
        <w:t>Distribution Date</w:t>
      </w:r>
      <w:r>
        <w:rPr>
          <w:rFonts w:ascii="Times New Roman" w:hAnsi="Times New Roman" w:eastAsia="Times New Roman" w:cs="Times New Roman"/>
          <w:b w:val="0"/>
          <w:sz w:val="24"/>
        </w:rPr>
        <w:t xml:space="preserve">" means the [__] day of each month, or, if any such date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 next succeeding Business Day, commencing [__]. If [name of Servicer] is no longer acting as Servicer, the distribution date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day of the month. The term "</w:t>
      </w:r>
      <w:r>
        <w:rPr>
          <w:rFonts w:ascii="Times New Roman" w:hAnsi="Times New Roman" w:eastAsia="Times New Roman" w:cs="Times New Roman"/>
          <w:b w:val="0"/>
          <w:sz w:val="24"/>
        </w:rPr>
        <w:t>Distribution Date</w:t>
      </w:r>
      <w:r>
        <w:rPr>
          <w:rFonts w:ascii="Times New Roman" w:hAnsi="Times New Roman" w:eastAsia="Times New Roman" w:cs="Times New Roman"/>
          <w:b w:val="0"/>
          <w:sz w:val="24"/>
        </w:rPr>
        <w:t>," shall be deemed to include the Final Scheduled Distribution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described above, the entire unpaid principal amount of this Note shall be due and payable on the earlier of the Final Scheduled Distribution Date and the Redemption Date, if any, pursuant to the Indenture. As described above,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unpaid principal balance of this Note shall be due and payable on the Redemption Date, if any. Notwithstanding the foregoing, the entire unpaid principal amount of the Notes shall be due and payable on the date on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and be continuing and the [Majority Noteholders] have declared the Notes to be immediately due and payable in the manner provided in the Indenture. All principal payments on the Class [__] Notes shall be made pro rata to the Class [__] Noteholders entitled thereto.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Payments of interest on this Note due and payable on each Distribution Date, together with the installment of principal, if any, to the extent not in full payment of this Note, shall be made by check mailed to the Person whose name appears as the Holder of this Note (or one or more Predecessor Notes) on the Note Register as of the close of business on each Record Date, except that with respect to Notes registered on the Record Date in the name of the nominee of the Clearing Agency (initially, such nominee to be Cede &amp; Co.), payments will be made by wire transfer in immediately available funds to the account designated by such nominee. Such checks shall be mailed to the Person entitled thereto at the address of such Person as it appears on the Note Register as of the applicable Record Date without requiring that this Note be submitted for notation of payment. Any reduction in the principal amount of this Note (or any one or more Predecessor Notes) effected by any payments made on any Distribution Date shall be binding upon all future Holders of this Note and of any Note issued upon the registration of transfer hereof or in exchange hereof or in lieu hereof, whether or not noted hereon. If funds are expected to be available, as provided in the Indenture, for payment in full of the then remaining unpaid principal amount of this Note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Date, then the Trustee, in the name of and on behalf of the Issuer, will notify the Person who was the Holder hereof as of the Record Date preceding such Distribution Date by notice mailed prior to such Distribution Date and the amount then due and payable shall be payable only upon presentation and surrender of this Note at the Trustee's principal Corporate Trust Office or at the office of the Trustee's agent appointed for such purposes located in Minneapolis, Minnesota.</w:t>
      </w:r>
    </w:p>
    <w:p>
      <w:pPr>
        <w:keepNext w:val="0"/>
        <w:spacing w:before="200" w:after="0" w:line="260" w:lineRule="exact"/>
        <w:ind w:left="720" w:right="0" w:firstLine="0"/>
        <w:jc w:val="both"/>
      </w:pPr>
      <w:r>
        <w:rPr>
          <w:rFonts w:ascii="Times New Roman" w:hAnsi="Times New Roman" w:eastAsia="Times New Roman" w:cs="Times New Roman"/>
          <w:b w:val="0"/>
          <w:sz w:val="24"/>
        </w:rPr>
        <w:t>The Issuer shall pay interest on overdue installments of interest at the Class [__] Interest Rate to the extent lawful.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provided in the Indenture and subject to certain limitations set forth therein, the transfer of this Note may be registered on the Note Register upon surrender of this Note for registration of transfer at the office or agency designated by the Issuer pursuant to the Indenture, (i) duly endorsed by,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of transfer in form satisfactory to the Trustee duly executed by, the Holder hereof or his attorney duly authorized in writing, with such signature guaranteed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guarantor institution" meeting the requirements of the Note Registrar which requirements include membership or participation in Securities Transfer Agents Medallion Program ("</w:t>
      </w:r>
      <w:r>
        <w:rPr>
          <w:rFonts w:ascii="Times New Roman" w:hAnsi="Times New Roman" w:eastAsia="Times New Roman" w:cs="Times New Roman"/>
          <w:b w:val="0"/>
          <w:sz w:val="24"/>
        </w:rPr>
        <w:t>STAMP</w:t>
      </w:r>
      <w:r>
        <w:rPr>
          <w:rFonts w:ascii="Times New Roman" w:hAnsi="Times New Roman" w:eastAsia="Times New Roman" w:cs="Times New Roman"/>
          <w:b w:val="0"/>
          <w:sz w:val="24"/>
        </w:rPr>
        <w:t xml:space="preserve">") or such other "signature guarantee program" as may be determined by the Note Registrar in addition to, or in substitution for, STAMP, all in accordance with the Exchange Act, and (ii) accompanied by such other documents as the Trustee may require, and thereupon one or more new Notes of authorized denominations and in the same aggregate principal amount will be issued to the designated transferee or transferees. No service charge will be charged for any registration of transfer or exchange of this Note, but the transferor may be required to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sufficient to cover any tax or other governmental charge that may be imposed in connection with any such registration of transfer or exchange.</w:t>
      </w:r>
    </w:p>
    <w:p>
      <w:pPr>
        <w:keepNext w:val="0"/>
        <w:spacing w:before="200" w:after="0" w:line="260" w:lineRule="exact"/>
        <w:ind w:left="720" w:right="0" w:firstLine="0"/>
        <w:jc w:val="both"/>
      </w:pPr>
      <w:r>
        <w:rPr>
          <w:rFonts w:ascii="Times New Roman" w:hAnsi="Times New Roman" w:eastAsia="Times New Roman" w:cs="Times New Roman"/>
          <w:b w:val="0"/>
          <w:sz w:val="24"/>
        </w:rPr>
        <w:t>[Applicable ERISA restrictions provided by ERISA counsel.]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Noteholder or Note Owner, by acceptance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Owner,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covenants and agrees (i) that no recourse may be taken, directly or indirectly, with respect to the obligations of the Issuer, the Owner Trustee or the Trustee on the Notes or under the Indenture or any certificate or other writing delivered in connection therewith,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Seller, the Servicer, the Trustee or the Owner Trustee in its individual capacity, (b) any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Issuer or (c) any partner, owner, beneficiary, agent, officer, director or employee of the Seller, the Servicer, the Trustee or the Owner Trustee in its individual capacity, any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Issuer, the Seller, the Servicer, the Owner Trustee or the Trustee or of any successor or assign of the Seller, the Servicer, the Trustee or the Owner Trustee in its individual capacity, except as any such Person may have expressly agreed (it being understood that the Trustee and the Owner Trustee have no such obligations in their individual capacity) and except that any such partner, owner or beneficiary shall be fully liable, to the extent provided by applicable law, for any unpaid consideration for stock, unpaid capital contribution or failure to pay any installment or call owing to such entity, and (ii) to treat the Notes that are owned or beneficially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[name of Sponsor], or its Affiliates, as indebtedness for purposes of federal income, state and local income and franchise and any other income taxes.</w:t>
      </w:r>
    </w:p>
    <w:p>
      <w:pPr>
        <w:keepNext w:val="0"/>
        <w:spacing w:before="200" w:after="0" w:line="260" w:lineRule="exact"/>
        <w:ind w:left="720" w:right="0" w:firstLine="0"/>
        <w:jc w:val="both"/>
      </w:pPr>
      <w:r>
        <w:rPr>
          <w:rFonts w:ascii="Times New Roman" w:hAnsi="Times New Roman" w:eastAsia="Times New Roman" w:cs="Times New Roman"/>
          <w:b w:val="0"/>
          <w:sz w:val="24"/>
        </w:rPr>
        <w:t>Prior to the due presentment for registration of transfer of this Note, the Issuer and the Trustee and any agent of the Issuer or the Trustee may treat the Person in whose name this Note (as of the day of determination or as of such other date as may be specified in the Indenture) is registered as the owner hereof for all purposes, whether or not this Note be overdue, and neither the Issuer, the Trustee nor any such agent shall be affected by notice to the contrary.</w:t>
      </w:r>
    </w:p>
    <w:p>
      <w:pPr>
        <w:keepNext w:val="0"/>
        <w:spacing w:before="200" w:after="0" w:line="260" w:lineRule="exact"/>
        <w:ind w:left="720" w:right="0" w:firstLine="0"/>
        <w:jc w:val="both"/>
      </w:pPr>
      <w:r>
        <w:rPr>
          <w:rFonts w:ascii="Times New Roman" w:hAnsi="Times New Roman" w:eastAsia="Times New Roman" w:cs="Times New Roman"/>
          <w:b w:val="0"/>
          <w:sz w:val="24"/>
        </w:rPr>
        <w:t>The Indenture permits, with certain exceptions as therein provided, the amendment thereof and the modification of the rights and obligations of the Issuer and the rights of the Holders of the Notes under the Indenture at any time by the Issuer with the consent of the [Majority Noteholders]. The Indenture also contains provisions permitting the Noteholders representing specified percentages of the Outstanding Amount of the Notes, on behalf of the Holders of all the Notes, to waive compliance by the Issuer with certain provisions of the Indenture and certain past defaults under the Indenture and their consequences. Any such consent or waiver by the Holder of this Note (or any one of more Predecessor Notes) shall be conclusive and binding upon such Holder and upon all future Holders of this Note and of any Note issued upon the registration of transfer hereof or in exchange hereof or in lieu hereof whether or not notation of such consent or waiver is made upon this Note. The Indenture also permits the Trustee to amend or waive certain terms and conditions set forth in the Indenture without the consent of Holders of the Notes issued thereunder.</w:t>
      </w:r>
    </w:p>
    <w:p>
      <w:pPr>
        <w:keepNext w:val="0"/>
        <w:spacing w:before="200" w:after="0" w:line="260" w:lineRule="exact"/>
        <w:ind w:left="720" w:right="0" w:firstLine="0"/>
        <w:jc w:val="both"/>
      </w:pPr>
      <w:r>
        <w:rPr>
          <w:rFonts w:ascii="Times New Roman" w:hAnsi="Times New Roman" w:eastAsia="Times New Roman" w:cs="Times New Roman"/>
          <w:b w:val="0"/>
          <w:sz w:val="24"/>
        </w:rPr>
        <w:t>The term "</w:t>
      </w:r>
      <w:r>
        <w:rPr>
          <w:rFonts w:ascii="Times New Roman" w:hAnsi="Times New Roman" w:eastAsia="Times New Roman" w:cs="Times New Roman"/>
          <w:b w:val="0"/>
          <w:sz w:val="24"/>
        </w:rPr>
        <w:t>Issuer</w:t>
      </w:r>
      <w:r>
        <w:rPr>
          <w:rFonts w:ascii="Times New Roman" w:hAnsi="Times New Roman" w:eastAsia="Times New Roman" w:cs="Times New Roman"/>
          <w:b w:val="0"/>
          <w:sz w:val="24"/>
        </w:rPr>
        <w:t>" as used in this Note includes any successor to the Issuer under the Indenture.</w:t>
      </w:r>
    </w:p>
    <w:p>
      <w:pPr>
        <w:keepNext w:val="0"/>
        <w:spacing w:before="200" w:after="0" w:line="260" w:lineRule="exact"/>
        <w:ind w:left="720" w:right="0" w:firstLine="0"/>
        <w:jc w:val="both"/>
      </w:pPr>
      <w:r>
        <w:rPr>
          <w:rFonts w:ascii="Times New Roman" w:hAnsi="Times New Roman" w:eastAsia="Times New Roman" w:cs="Times New Roman"/>
          <w:b w:val="0"/>
          <w:sz w:val="24"/>
        </w:rPr>
        <w:t>The Issuer is permitted by the Indenture, under certain circumstances, to merge or consolidate, subject to the rights of the Trustee and the Noteholders under the Indenture.</w:t>
      </w:r>
    </w:p>
    <w:p>
      <w:pPr>
        <w:keepNext w:val="0"/>
        <w:spacing w:before="200" w:after="0" w:line="260" w:lineRule="exact"/>
        <w:ind w:left="720" w:right="0" w:firstLine="0"/>
        <w:jc w:val="both"/>
      </w:pPr>
      <w:r>
        <w:rPr>
          <w:rFonts w:ascii="Times New Roman" w:hAnsi="Times New Roman" w:eastAsia="Times New Roman" w:cs="Times New Roman"/>
          <w:b w:val="0"/>
          <w:sz w:val="24"/>
        </w:rPr>
        <w:t>The Notes are issuable only in registered form in denominations as provided in the Indenture, subject to certain limitations therein set forth.</w:t>
      </w:r>
    </w:p>
    <w:p>
      <w:pPr>
        <w:keepNext w:val="0"/>
        <w:spacing w:before="200" w:after="0" w:line="260" w:lineRule="exact"/>
        <w:ind w:left="720" w:right="0" w:firstLine="0"/>
        <w:jc w:val="both"/>
      </w:pPr>
      <w:r>
        <w:rPr>
          <w:rFonts w:ascii="Times New Roman" w:hAnsi="Times New Roman" w:eastAsia="Times New Roman" w:cs="Times New Roman"/>
          <w:b w:val="0"/>
          <w:sz w:val="24"/>
        </w:rPr>
        <w:t>This Note and the Indenture shall be construed in accordance with the laws of the State of New York, without reference to its conflict of law provisions, and the obligations, rights and remedies of the parties hereunder and thereunder shall be determined in accordance with such laws.</w:t>
      </w:r>
    </w:p>
    <w:p>
      <w:pPr>
        <w:keepNext w:val="0"/>
        <w:spacing w:before="200" w:after="0" w:line="260" w:lineRule="exact"/>
        <w:ind w:left="720" w:right="0" w:firstLine="0"/>
        <w:jc w:val="both"/>
      </w:pPr>
      <w:r>
        <w:rPr>
          <w:rFonts w:ascii="Times New Roman" w:hAnsi="Times New Roman" w:eastAsia="Times New Roman" w:cs="Times New Roman"/>
          <w:b w:val="0"/>
          <w:sz w:val="24"/>
        </w:rPr>
        <w:t>No reference herein to the Indenture and no provision of this Note or of the Indenture shall alter or impair the obligation of the Issuer, which is absolute and unconditional, to pay the principal of and interest on this Note at the times, place, and rate, and in the coin or currency herein prescribed.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Anything herein to the contrary notwithstanding, except as expressly provided in the Indenture or the Basic Documents, neither [name of Owner Trustee] in its individual capacity, any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Issuer, nor any of their respective partners, beneficiaries, agents, officers, directors, employees or successors or assigns shall be personally liable for, nor shall recourse be had to any of them for, the payment of principal of or interest on, or performance of, or omission to perform, any of the covenants, obligations or indemnifications contained in this Note or the Indenture, it being expressly understood that said covenants, obligations and indemnifications have been made by the Owner Trustee for the sole purposes of binding the interests of the Owner Trustee in the assets of the Issuer. The Holder of this Note by the acceptance hereof agrees that except as expressly provided in the Indenture or the Basic Documents,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Indenture, the Holder shall have no claim against any of the foregoing for any deficiency, loss or claim therefrom;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nothing contained herein shall be taken to prevent recourse to, and enforcement against, the assets of the Issuer for any and all liabilities, obligations and undertakings contained in the Indenture or in this Note.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ASSIGNMENT</w:t>
      </w:r>
    </w:p>
    <w:p>
      <w:pPr>
        <w:keepNext w:val="0"/>
        <w:spacing w:before="200" w:after="0" w:line="260" w:lineRule="exact"/>
        <w:ind w:left="720" w:right="0" w:firstLine="0"/>
        <w:jc w:val="both"/>
      </w:pPr>
      <w:r>
        <w:rPr>
          <w:rFonts w:ascii="Times New Roman" w:hAnsi="Times New Roman" w:eastAsia="Times New Roman" w:cs="Times New Roman"/>
          <w:b w:val="0"/>
          <w:sz w:val="24"/>
        </w:rPr>
        <w:t>Social Security or taxpayer I.D. or other identifying number of assignee</w:t>
      </w:r>
    </w:p>
    <w:p>
      <w:pPr>
        <w:keepNext w:val="0"/>
        <w:spacing w:before="200" w:after="0" w:line="260" w:lineRule="exact"/>
        <w:ind w:left="720" w:right="0" w:firstLine="0"/>
        <w:jc w:val="both"/>
      </w:pPr>
      <w:r>
        <w:rPr>
          <w:rFonts w:ascii="Times New Roman" w:hAnsi="Times New Roman" w:eastAsia="Times New Roman" w:cs="Times New Roman"/>
          <w:b w:val="0"/>
          <w:sz w:val="24"/>
        </w:rPr>
        <w:t>FOR VALUE RECEIVED, the undersigned hereby sells, assigns and transfers unto</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and address of assignee)</w:t>
      </w:r>
    </w:p>
    <w:p>
      <w:pPr>
        <w:keepNext w:val="0"/>
        <w:spacing w:before="200" w:after="0" w:line="260" w:lineRule="exact"/>
        <w:ind w:left="720" w:right="0" w:firstLine="0"/>
        <w:jc w:val="both"/>
      </w:pPr>
      <w:r>
        <w:rPr>
          <w:rFonts w:ascii="Times New Roman" w:hAnsi="Times New Roman" w:eastAsia="Times New Roman" w:cs="Times New Roman"/>
          <w:b w:val="0"/>
          <w:sz w:val="24"/>
        </w:rPr>
        <w:t>the within Note and all rights thereunder, and hereby irrevocably constitutes and appoints, attorney, to transfer said Note on the books kept for registration thereof, with full power of substitution in the premises.</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Guaranteed: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