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Four Relationship Rights Chart (NY)</w:t>
      </w:r>
    </w:p>
    <w:p>
      <w:pPr>
        <w:keepNext w:val="0"/>
        <w:spacing w:after="0" w:line="240" w:lineRule="exact"/>
        <w:ind w:right="0"/>
        <w:jc w:val="both"/>
      </w:pPr>
    </w:p>
    <w:p>
      <w:pPr>
        <w:keepNext w:val="0"/>
        <w:spacing w:before="200" w:after="0" w:line="260" w:lineRule="exact"/>
        <w:ind w:left="0" w:right="0" w:firstLine="0"/>
        <w:jc w:val="both"/>
      </w:pPr>
      <w:r>
        <w:rPr>
          <w:rFonts w:ascii="Times New Roman" w:hAnsi="Times New Roman" w:eastAsia="Times New Roman" w:cs="Times New Roman"/>
          <w:b w:val="0"/>
          <w:sz w:val="24"/>
        </w:rPr>
        <w:t>by Marti Granizo-O’Hare, Mg O'Hare Law</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This chart consists of the legal rights attendant to the four relationship statuses: married, domestic partnership, unmarried, and contractual. It serves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of comparison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vehicle to counsel the client on options to negotiate and terms to include in the Cohabitation Agreement (NY). It is designed to be used in conjunction with the Cohabitation Agreement Guidance (First Client Counseling Meeting) (NY).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