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Gender Transition Plan</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Once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identifies himself or herself to the Company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 the process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gender transition, the Company, with the employee’s consent, will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of Human Resources to guide the employee through his or her workplace transition. The employee is encouraged to engage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dialogue with the designated Company representative to help the employee’s transition in the workplace to be as smooth as possible.</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Consistent with the employee’s comfort level, the employee and the designated Company representative are encouraged to discuss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w:t>
        <w:tab/>
        <w:t>The date on which the employee will begin to live his or her new gender identity or gender presentation in the workplace</w:t>
      </w:r>
    </w:p>
    <w:p>
      <w:pPr>
        <w:keepNext w:val="0"/>
        <w:spacing w:before="200" w:after="0" w:line="260" w:lineRule="exact"/>
        <w:ind w:left="720" w:right="0" w:firstLine="0"/>
        <w:jc w:val="both"/>
      </w:pPr>
      <w:r>
        <w:rPr>
          <w:rFonts w:ascii="Times New Roman" w:hAnsi="Times New Roman" w:eastAsia="Times New Roman" w:cs="Times New Roman"/>
          <w:b w:val="0"/>
          <w:sz w:val="24"/>
        </w:rPr>
        <w:t>•</w:t>
        <w:tab/>
        <w:t>Whether the employee anticipates the need for leave time</w:t>
      </w:r>
    </w:p>
    <w:p>
      <w:pPr>
        <w:keepNext w:val="0"/>
        <w:spacing w:before="200" w:after="0" w:line="260" w:lineRule="exact"/>
        <w:ind w:left="720" w:right="0" w:firstLine="0"/>
        <w:jc w:val="both"/>
      </w:pPr>
      <w:r>
        <w:rPr>
          <w:rFonts w:ascii="Times New Roman" w:hAnsi="Times New Roman" w:eastAsia="Times New Roman" w:cs="Times New Roman"/>
          <w:b w:val="0"/>
          <w:sz w:val="24"/>
        </w:rPr>
        <w:t>•</w:t>
        <w:tab/>
        <w:t>The extent of any communications with the employee’s co-workers, including when they will be told, what they will be told, and who will convey the message to them</w:t>
      </w:r>
    </w:p>
    <w:p>
      <w:pPr>
        <w:keepNext w:val="0"/>
        <w:spacing w:before="200" w:after="0" w:line="260" w:lineRule="exact"/>
        <w:ind w:left="720" w:right="0" w:firstLine="0"/>
        <w:jc w:val="both"/>
      </w:pPr>
      <w:r>
        <w:rPr>
          <w:rFonts w:ascii="Times New Roman" w:hAnsi="Times New Roman" w:eastAsia="Times New Roman" w:cs="Times New Roman"/>
          <w:b w:val="0"/>
          <w:sz w:val="24"/>
        </w:rPr>
        <w:t>•</w:t>
        <w:tab/>
        <w:t>The time frame for the employee’s complete transition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transitioning employee is encouraged to discuss with the designated Company representative any problems, issues, or concerns that arise in the course of his or her gender transition.</w:t>
      </w:r>
    </w:p>
    <w:p>
      <w:pPr>
        <w:keepNext w:val="0"/>
        <w:spacing w:before="120" w:after="0" w:line="260" w:lineRule="exact"/>
        <w:ind w:left="360" w:right="0" w:firstLine="0"/>
        <w:jc w:val="left"/>
      </w:pPr>
      <w:r>
        <w:rPr>
          <w:rFonts w:ascii="Times New Roman" w:hAnsi="Times New Roman" w:eastAsia="Times New Roman" w:cs="Times New Roman"/>
          <w:b w:val="0"/>
          <w:sz w:val="24"/>
        </w:rPr>
        <w:t>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transitioning employee presents the Company with documentation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name or gender change, the Company will change its official records to reflect the employee’s reassigned gender and/or new name. Less formal changes, such as changes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employee’s e-mail address, internal identification badge, company directory, etc., do not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name or gender change and the Company will make those changes as soon as practicable after the employee notifies the Company of his or her desire to assume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name and/or gender.</w:t>
      </w:r>
    </w:p>
    <w:p>
      <w:pPr>
        <w:keepNext w:val="0"/>
        <w:spacing w:before="120" w:after="0" w:line="260" w:lineRule="exact"/>
        <w:ind w:left="360" w:right="0" w:firstLine="0"/>
        <w:jc w:val="left"/>
      </w:pPr>
      <w:r>
        <w:rPr>
          <w:rFonts w:ascii="Times New Roman" w:hAnsi="Times New Roman" w:eastAsia="Times New Roman" w:cs="Times New Roman"/>
          <w:b w:val="0"/>
          <w:sz w:val="24"/>
        </w:rPr>
        <w:t>5.</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Transitioning employees are entitled to equal access to the Company’s restrooms. Where possible, the company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unisex bathroom for use by employees. If this is not possible, transitioning employees may use the bathroom that corresponds to their gender identity.</w:t>
      </w:r>
    </w:p>
    <w:p>
      <w:pPr>
        <w:keepNext w:val="0"/>
        <w:spacing w:before="120" w:after="0" w:line="260" w:lineRule="exact"/>
        <w:ind w:left="360" w:right="0" w:firstLine="0"/>
        <w:jc w:val="left"/>
      </w:pPr>
      <w:r>
        <w:rPr>
          <w:rFonts w:ascii="Times New Roman" w:hAnsi="Times New Roman" w:eastAsia="Times New Roman" w:cs="Times New Roman"/>
          <w:b w:val="0"/>
          <w:sz w:val="24"/>
        </w:rPr>
        <w:t>6.</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transitioning employee who has assumed his or her new gender will abide by the dress code applicable to their gender identity. The employee will be held to the same dress and grooming standards as applicable to other employees of the same gender presentation.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