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GEORGIA BUYER AGENCY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Buyer Agency Agreement (“Agreement”) made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by and between: </w:t>
      </w:r>
    </w:p>
    <w:p>
      <w:pPr/>
    </w:p>
    <w:p>
      <w:pPr/>
      <w:r>
        <w:rPr>
          <w:rFonts w:ascii="Times New Roman" w:hAnsi="Times New Roman" w:eastAsia="Times New Roman" w:cs="Times New Roman"/>
          <w:b/>
          <w:sz w:val="24"/>
        </w:rPr>
        <w:t>Buyer</w:t>
      </w:r>
      <w:r>
        <w:rPr>
          <w:rFonts w:ascii="Times New Roman" w:hAnsi="Times New Roman" w:eastAsia="Times New Roman" w:cs="Times New Roman"/>
          <w:sz w:val="24"/>
        </w:rPr>
        <w:t xml:space="preserve">: </w:t>
      </w:r>
      <w:r>
        <w:rPr>
          <w:rFonts w:ascii="Times New Roman" w:hAnsi="Times New Roman" w:eastAsia="Times New Roman" w:cs="Times New Roman"/>
          <w:sz w:val="24"/>
        </w:rPr>
        <w:t>[BUYER NAME]</w:t>
      </w:r>
      <w:r>
        <w:rPr>
          <w:rFonts w:ascii="Times New Roman" w:hAnsi="Times New Roman" w:eastAsia="Times New Roman" w:cs="Times New Roman"/>
          <w:sz w:val="24"/>
        </w:rPr>
        <w:t xml:space="preserve"> (“Buyer”) with a mailing address of </w:t>
      </w:r>
      <w:r>
        <w:rPr>
          <w:rFonts w:ascii="Times New Roman" w:hAnsi="Times New Roman" w:eastAsia="Times New Roman" w:cs="Times New Roman"/>
          <w:sz w:val="24"/>
        </w:rPr>
        <w:t>[BUYER ADDRESS]</w:t>
      </w:r>
      <w:r>
        <w:rPr>
          <w:rFonts w:ascii="Times New Roman" w:hAnsi="Times New Roman" w:eastAsia="Times New Roman" w:cs="Times New Roman"/>
          <w:sz w:val="24"/>
        </w:rPr>
        <w:t>, and</w:t>
      </w:r>
    </w:p>
    <w:p>
      <w:pPr/>
    </w:p>
    <w:p>
      <w:pPr/>
      <w:r>
        <w:rPr>
          <w:rFonts w:ascii="Times New Roman" w:hAnsi="Times New Roman" w:eastAsia="Times New Roman" w:cs="Times New Roman"/>
          <w:b/>
          <w:sz w:val="24"/>
        </w:rPr>
        <w:t>Agency</w:t>
      </w:r>
      <w:r>
        <w:rPr>
          <w:rFonts w:ascii="Times New Roman" w:hAnsi="Times New Roman" w:eastAsia="Times New Roman" w:cs="Times New Roman"/>
          <w:sz w:val="24"/>
        </w:rPr>
        <w:t xml:space="preserve">: </w:t>
      </w:r>
      <w:r>
        <w:rPr>
          <w:rFonts w:ascii="Times New Roman" w:hAnsi="Times New Roman" w:eastAsia="Times New Roman" w:cs="Times New Roman"/>
          <w:sz w:val="24"/>
        </w:rPr>
        <w:t>[BROKER NAME]</w:t>
      </w:r>
      <w:r>
        <w:rPr>
          <w:rFonts w:ascii="Times New Roman" w:hAnsi="Times New Roman" w:eastAsia="Times New Roman" w:cs="Times New Roman"/>
          <w:sz w:val="24"/>
        </w:rPr>
        <w:t xml:space="preserve">(“Broker”) of </w:t>
      </w:r>
      <w:r>
        <w:rPr>
          <w:rFonts w:ascii="Times New Roman" w:hAnsi="Times New Roman" w:eastAsia="Times New Roman" w:cs="Times New Roman"/>
          <w:sz w:val="24"/>
        </w:rPr>
        <w:t>[AGENCY NAME]</w:t>
      </w:r>
      <w:r>
        <w:rPr>
          <w:rFonts w:ascii="Times New Roman" w:hAnsi="Times New Roman" w:eastAsia="Times New Roman" w:cs="Times New Roman"/>
          <w:sz w:val="24"/>
        </w:rPr>
        <w:t xml:space="preserve"> (“Agency”) with a mailing address of </w:t>
      </w:r>
      <w:r>
        <w:rPr>
          <w:rFonts w:ascii="Times New Roman" w:hAnsi="Times New Roman" w:eastAsia="Times New Roman" w:cs="Times New Roman"/>
          <w:sz w:val="24"/>
        </w:rPr>
        <w:t>[AGENCY ADDRESS]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Collectively, the Buyer and Agency shall be referred to as the “Parties.”</w:t>
      </w:r>
    </w:p>
    <w:p>
      <w:pPr/>
    </w:p>
    <w:p>
      <w:pPr/>
      <w:r>
        <w:rPr>
          <w:rFonts w:ascii="Times New Roman" w:hAnsi="Times New Roman" w:eastAsia="Times New Roman" w:cs="Times New Roman"/>
          <w:sz w:val="24"/>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
    <w:p>
      <w:pPr/>
      <w:r>
        <w:rPr>
          <w:rFonts w:ascii="Times New Roman" w:hAnsi="Times New Roman" w:eastAsia="Times New Roman" w:cs="Times New Roman"/>
          <w:b/>
          <w:sz w:val="24"/>
        </w:rPr>
        <w:t>II. Services Provided</w:t>
      </w:r>
      <w:r>
        <w:rPr>
          <w:rFonts w:ascii="Times New Roman" w:hAnsi="Times New Roman" w:eastAsia="Times New Roman" w:cs="Times New Roman"/>
          <w:sz w:val="24"/>
        </w:rPr>
        <w:t>. Buyer hereby agrees to hire the Agency on a(n):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Non-Exclusive Basis</w:t>
      </w:r>
      <w:r>
        <w:rPr>
          <w:rFonts w:ascii="Times New Roman" w:hAnsi="Times New Roman" w:eastAsia="Times New Roman" w:cs="Times New Roman"/>
          <w:sz w:val="24"/>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
    <w:p>
      <w:pPr/>
      <w:r>
        <w:rPr>
          <w:rFonts w:ascii="Times New Roman" w:hAnsi="Times New Roman" w:eastAsia="Times New Roman" w:cs="Times New Roman"/>
          <w:sz w:val="24"/>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
    <w:p>
      <w:pPr/>
      <w:r>
        <w:rPr>
          <w:rFonts w:ascii="Times New Roman" w:hAnsi="Times New Roman" w:eastAsia="Times New Roman" w:cs="Times New Roman"/>
          <w:b/>
          <w:sz w:val="24"/>
        </w:rPr>
        <w:t>III. Period of Agreement</w:t>
      </w:r>
      <w:r>
        <w:rPr>
          <w:rFonts w:ascii="Times New Roman" w:hAnsi="Times New Roman" w:eastAsia="Times New Roman" w:cs="Times New Roman"/>
          <w:sz w:val="24"/>
        </w:rPr>
        <w:t xml:space="preserve">. This Agreement shall start on </w:t>
      </w:r>
      <w:r>
        <w:rPr>
          <w:rFonts w:ascii="Times New Roman" w:hAnsi="Times New Roman" w:eastAsia="Times New Roman" w:cs="Times New Roman"/>
          <w:sz w:val="24"/>
        </w:rPr>
        <w:t>[DATE AGREEMENT BEGINS]</w:t>
      </w:r>
      <w:r>
        <w:rPr>
          <w:rFonts w:ascii="Times New Roman" w:hAnsi="Times New Roman" w:eastAsia="Times New Roman" w:cs="Times New Roman"/>
          <w:sz w:val="24"/>
        </w:rPr>
        <w:t xml:space="preserve"> (“Effective Date”) and end on </w:t>
      </w:r>
      <w:r>
        <w:rPr>
          <w:rFonts w:ascii="Times New Roman" w:hAnsi="Times New Roman" w:eastAsia="Times New Roman" w:cs="Times New Roman"/>
          <w:sz w:val="24"/>
        </w:rPr>
        <w:t>[DATE AGREEMENT ENDS]</w:t>
      </w:r>
      <w:r>
        <w:rPr>
          <w:rFonts w:ascii="Times New Roman" w:hAnsi="Times New Roman" w:eastAsia="Times New Roman" w:cs="Times New Roman"/>
          <w:sz w:val="24"/>
        </w:rPr>
        <w:t xml:space="preserve"> at 12:00 midnight (“Listing Period”), unless the expiration date is extended in writing.</w:t>
      </w:r>
    </w:p>
    <w:p>
      <w:pPr/>
    </w:p>
    <w:p>
      <w:pPr/>
      <w:r>
        <w:rPr>
          <w:rFonts w:ascii="Times New Roman" w:hAnsi="Times New Roman" w:eastAsia="Times New Roman" w:cs="Times New Roman"/>
          <w:b/>
          <w:sz w:val="24"/>
        </w:rPr>
        <w:t>Listing Period Extension</w:t>
      </w:r>
      <w:r>
        <w:rPr>
          <w:rFonts w:ascii="Times New Roman" w:hAnsi="Times New Roman" w:eastAsia="Times New Roman" w:cs="Times New Roman"/>
          <w:sz w:val="24"/>
        </w:rPr>
        <w:t xml:space="preserve">. The Commission provided shall be due if real property is acquired in accordance with Section II within </w:t>
      </w:r>
      <w:r>
        <w:rPr>
          <w:rFonts w:ascii="Times New Roman" w:hAnsi="Times New Roman" w:eastAsia="Times New Roman" w:cs="Times New Roman"/>
          <w:sz w:val="24"/>
        </w:rPr>
        <w:t>[NUMBER OF DAYS]</w:t>
      </w:r>
      <w:r>
        <w:rPr>
          <w:rFonts w:ascii="Times New Roman" w:hAnsi="Times New Roman" w:eastAsia="Times New Roman" w:cs="Times New Roman"/>
          <w:sz w:val="24"/>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the event real property is acquired under Section II of this Agreement, the Buyer agrees to compensate the Agency under the following terms and conditions: (select one of the checkbox options)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Percentage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xml:space="preserve">% of the purchase price. </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xml:space="preserve">. To pay the Agency a commission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of the purchase price.</w:t>
      </w:r>
    </w:p>
    <w:p>
      <w:pPr/>
    </w:p>
    <w:p>
      <w:pPr/>
      <w:r>
        <w:rPr>
          <w:rFonts w:ascii="Times New Roman" w:hAnsi="Times New Roman" w:eastAsia="Times New Roman" w:cs="Times New Roman"/>
          <w:sz w:val="24"/>
        </w:rPr>
        <w:t>This percentage-based commission amount is hereafter referred to as the "Commission."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Flat Fee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To pay the Agency a commission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This flat-fee compensation amount (the "Commission") shall not be dependent on the purchase price.</w:t>
      </w:r>
    </w:p>
    <w:p>
      <w:pPr/>
    </w:p>
    <w:p>
      <w:pPr/>
      <w:r>
        <w:rPr>
          <w:rFonts w:ascii="Times New Roman" w:hAnsi="Times New Roman" w:eastAsia="Times New Roman" w:cs="Times New Roman"/>
          <w:b/>
          <w:sz w:val="24"/>
        </w:rPr>
        <w:t>Retainer Fee</w:t>
      </w:r>
      <w:r>
        <w:rPr>
          <w:rFonts w:ascii="Times New Roman" w:hAnsi="Times New Roman" w:eastAsia="Times New Roman" w:cs="Times New Roman"/>
          <w:sz w:val="24"/>
        </w:rPr>
        <w:t xml:space="preserve">. This Agreement shall have: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 retainer fee.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retainer fee in the amount of $ </w:t>
      </w:r>
      <w:r>
        <w:rPr>
          <w:rFonts w:ascii="Times New Roman" w:hAnsi="Times New Roman" w:eastAsia="Times New Roman" w:cs="Times New Roman"/>
          <w:sz w:val="24"/>
        </w:rPr>
        <w:t>[RETAINER AMOUNT]</w:t>
      </w:r>
      <w:r>
        <w:rPr>
          <w:rFonts w:ascii="Times New Roman" w:hAnsi="Times New Roman" w:eastAsia="Times New Roman" w:cs="Times New Roman"/>
          <w:sz w:val="24"/>
        </w:rPr>
        <w:t>that is non-refundable to obtain the Agency’s services under this Agreement (“Retainer Fee”). If a Commission is paid the Retainer Fee shall be deducted from the total Commission amount. The Commission is due and payable at closing by the Buyer.</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amount or rate of real estate commissions is not fixed by law. The commission is set by each Broker individually and may be negotiable between the Buyer and the Broker.</w:t>
      </w:r>
    </w:p>
    <w:p>
      <w:pPr/>
    </w:p>
    <w:p>
      <w:pPr/>
      <w:r>
        <w:rPr>
          <w:rFonts w:ascii="Times New Roman" w:hAnsi="Times New Roman" w:eastAsia="Times New Roman" w:cs="Times New Roman"/>
          <w:b/>
          <w:sz w:val="24"/>
        </w:rPr>
        <w:t>Leasing</w:t>
      </w:r>
      <w:r>
        <w:rPr>
          <w:rFonts w:ascii="Times New Roman" w:hAnsi="Times New Roman" w:eastAsia="Times New Roman" w:cs="Times New Roman"/>
          <w:sz w:val="24"/>
        </w:rPr>
        <w:t>. During the Listing Period, if the Agency finds a ready, willing, and able Landlord that agrees to rent real property to the Buyer, the Agency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 due </w:t>
      </w:r>
      <w:r>
        <w:rPr>
          <w:rFonts w:ascii="Times New Roman" w:hAnsi="Times New Roman" w:eastAsia="Times New Roman" w:cs="Times New Roman"/>
          <w:sz w:val="24"/>
        </w:rPr>
        <w:t>[PERCENTAGE OF RENT]</w:t>
      </w:r>
      <w:r>
        <w:rPr>
          <w:rFonts w:ascii="Times New Roman" w:hAnsi="Times New Roman" w:eastAsia="Times New Roman" w:cs="Times New Roman"/>
          <w:sz w:val="24"/>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due a Commission unless otherwise agreed-upon. If any other agreement is made regarding the leasing of property, it should be attached and made part of this Agreement.</w:t>
      </w:r>
    </w:p>
    <w:p>
      <w:pPr/>
    </w:p>
    <w:p>
      <w:pPr/>
      <w:r>
        <w:rPr>
          <w:rFonts w:ascii="Times New Roman" w:hAnsi="Times New Roman" w:eastAsia="Times New Roman" w:cs="Times New Roman"/>
          <w:b/>
          <w:sz w:val="24"/>
        </w:rPr>
        <w:t>V. Buyer’s Identity</w:t>
      </w:r>
      <w:r>
        <w:rPr>
          <w:rFonts w:ascii="Times New Roman" w:hAnsi="Times New Roman" w:eastAsia="Times New Roman" w:cs="Times New Roman"/>
          <w:sz w:val="24"/>
        </w:rPr>
        <w:t>. The Buyer agrees and directs the Broker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 the Buyer’s Identity</w:t>
      </w:r>
      <w:r>
        <w:rPr>
          <w:rFonts w:ascii="Times New Roman" w:hAnsi="Times New Roman" w:eastAsia="Times New Roman" w:cs="Times New Roman"/>
          <w:sz w:val="24"/>
        </w:rPr>
        <w:t>. When presenting an offer, orally or in writing, the Broker agrees to disclose the identity of the Buyer.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
    <w:p>
      <w:pPr/>
      <w:r>
        <w:rPr>
          <w:rFonts w:ascii="Times New Roman" w:hAnsi="Times New Roman" w:eastAsia="Times New Roman" w:cs="Times New Roman"/>
          <w:b/>
          <w:sz w:val="24"/>
        </w:rPr>
        <w:t>VI. Agency Disclosure</w:t>
      </w:r>
      <w:r>
        <w:rPr>
          <w:rFonts w:ascii="Times New Roman" w:hAnsi="Times New Roman" w:eastAsia="Times New Roman" w:cs="Times New Roman"/>
          <w:sz w:val="24"/>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
    <w:p>
      <w:pPr/>
      <w:r>
        <w:rPr>
          <w:rFonts w:ascii="Times New Roman" w:hAnsi="Times New Roman" w:eastAsia="Times New Roman" w:cs="Times New Roman"/>
          <w:b/>
          <w:sz w:val="24"/>
        </w:rPr>
        <w:t>VII. Compensation Disclosures</w:t>
      </w:r>
      <w:r>
        <w:rPr>
          <w:rFonts w:ascii="Times New Roman" w:hAnsi="Times New Roman" w:eastAsia="Times New Roman" w:cs="Times New Roman"/>
          <w:sz w:val="24"/>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
    <w:p>
      <w:pPr/>
      <w:r>
        <w:rPr>
          <w:rFonts w:ascii="Times New Roman" w:hAnsi="Times New Roman" w:eastAsia="Times New Roman" w:cs="Times New Roman"/>
          <w:b/>
          <w:sz w:val="24"/>
        </w:rPr>
        <w:t>VIII. Buyer’s Duties</w:t>
      </w:r>
      <w:r>
        <w:rPr>
          <w:rFonts w:ascii="Times New Roman" w:hAnsi="Times New Roman" w:eastAsia="Times New Roman" w:cs="Times New Roman"/>
          <w:sz w:val="24"/>
        </w:rPr>
        <w:t>. Buyer agrees to work with the Agency in accordance with Section II of this Agreement in addition to the following:</w:t>
      </w:r>
    </w:p>
    <w:p>
      <w:pPr/>
    </w:p>
    <w:p>
      <w:pPr/>
      <w:r>
        <w:rPr>
          <w:rFonts w:ascii="Times New Roman" w:hAnsi="Times New Roman" w:eastAsia="Times New Roman" w:cs="Times New Roman"/>
          <w:b/>
          <w:sz w:val="24"/>
        </w:rPr>
        <w:t>Financial Records</w:t>
      </w:r>
      <w:r>
        <w:rPr>
          <w:rFonts w:ascii="Times New Roman" w:hAnsi="Times New Roman" w:eastAsia="Times New Roman" w:cs="Times New Roman"/>
          <w:sz w:val="24"/>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
    <w:p>
      <w:pPr/>
      <w:r>
        <w:rPr>
          <w:rFonts w:ascii="Times New Roman" w:hAnsi="Times New Roman" w:eastAsia="Times New Roman" w:cs="Times New Roman"/>
          <w:b/>
          <w:sz w:val="24"/>
        </w:rPr>
        <w:t>Contact with 3</w:t>
      </w:r>
      <w:r>
        <w:rPr>
          <w:rFonts w:ascii="Times New Roman" w:hAnsi="Times New Roman" w:eastAsia="Times New Roman" w:cs="Times New Roman"/>
          <w:b/>
          <w:sz w:val="24"/>
        </w:rPr>
        <w:t>rd</w:t>
      </w:r>
      <w:r>
        <w:rPr>
          <w:rFonts w:ascii="Times New Roman" w:hAnsi="Times New Roman" w:eastAsia="Times New Roman" w:cs="Times New Roman"/>
          <w:b/>
          <w:sz w:val="24"/>
        </w:rPr>
        <w:t xml:space="preserve"> Parties</w:t>
      </w:r>
      <w:r>
        <w:rPr>
          <w:rFonts w:ascii="Times New Roman" w:hAnsi="Times New Roman" w:eastAsia="Times New Roman" w:cs="Times New Roman"/>
          <w:sz w:val="24"/>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
    <w:p>
      <w:pPr/>
      <w:r>
        <w:rPr>
          <w:rFonts w:ascii="Times New Roman" w:hAnsi="Times New Roman" w:eastAsia="Times New Roman" w:cs="Times New Roman"/>
          <w:b/>
          <w:sz w:val="24"/>
        </w:rPr>
        <w:t>Exclusive Responsibility</w:t>
      </w:r>
      <w:r>
        <w:rPr>
          <w:rFonts w:ascii="Times New Roman" w:hAnsi="Times New Roman" w:eastAsia="Times New Roman" w:cs="Times New Roman"/>
          <w:sz w:val="24"/>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
    <w:p>
      <w:pPr/>
      <w:r>
        <w:rPr>
          <w:rFonts w:ascii="Times New Roman" w:hAnsi="Times New Roman" w:eastAsia="Times New Roman" w:cs="Times New Roman"/>
          <w:b/>
          <w:sz w:val="24"/>
        </w:rPr>
        <w:t>IX. Disclaimer</w:t>
      </w:r>
      <w:r>
        <w:rPr>
          <w:rFonts w:ascii="Times New Roman" w:hAnsi="Times New Roman" w:eastAsia="Times New Roman" w:cs="Times New Roman"/>
          <w:sz w:val="24"/>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
    <w:p>
      <w:pPr/>
      <w:r>
        <w:rPr>
          <w:rFonts w:ascii="Times New Roman" w:hAnsi="Times New Roman" w:eastAsia="Times New Roman" w:cs="Times New Roman"/>
          <w:b/>
          <w:sz w:val="24"/>
        </w:rPr>
        <w:t>X. Dispute Resolution</w:t>
      </w:r>
      <w:r>
        <w:rPr>
          <w:rFonts w:ascii="Times New Roman" w:hAnsi="Times New Roman" w:eastAsia="Times New Roman" w:cs="Times New Roman"/>
          <w:sz w:val="24"/>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
    <w:p>
      <w:pPr/>
      <w:r>
        <w:rPr>
          <w:rFonts w:ascii="Times New Roman" w:hAnsi="Times New Roman" w:eastAsia="Times New Roman" w:cs="Times New Roman"/>
          <w:b/>
          <w:sz w:val="24"/>
        </w:rPr>
        <w:t>XI. Fair Housing</w:t>
      </w:r>
      <w:r>
        <w:rPr>
          <w:rFonts w:ascii="Times New Roman" w:hAnsi="Times New Roman" w:eastAsia="Times New Roman" w:cs="Times New Roman"/>
          <w:sz w:val="24"/>
        </w:rPr>
        <w:t xml:space="preserve">. Broker agrees and adheres to the standard of showing real properties made available to the Buyer without regard to race, color, religion, age, handicap, familial status, or national origin. </w:t>
      </w:r>
    </w:p>
    <w:p>
      <w:pPr/>
    </w:p>
    <w:p>
      <w:pPr/>
      <w:r>
        <w:rPr>
          <w:rFonts w:ascii="Times New Roman" w:hAnsi="Times New Roman" w:eastAsia="Times New Roman" w:cs="Times New Roman"/>
          <w:b/>
          <w:sz w:val="24"/>
        </w:rPr>
        <w:t>XII. Other Clients</w:t>
      </w:r>
      <w:r>
        <w:rPr>
          <w:rFonts w:ascii="Times New Roman" w:hAnsi="Times New Roman" w:eastAsia="Times New Roman" w:cs="Times New Roman"/>
          <w:sz w:val="24"/>
        </w:rPr>
        <w:t>. Buyer is aware and acknowledges that the Broker may or may not have other clients with similar wants and needs. Broker shall not favor any client over the Buyer for any reason.</w:t>
      </w:r>
    </w:p>
    <w:p>
      <w:pPr/>
    </w:p>
    <w:p>
      <w:pPr/>
      <w:r>
        <w:rPr>
          <w:rFonts w:ascii="Times New Roman" w:hAnsi="Times New Roman" w:eastAsia="Times New Roman" w:cs="Times New Roman"/>
          <w:b/>
          <w:sz w:val="24"/>
        </w:rPr>
        <w:t>XIII. Binding Effect</w:t>
      </w:r>
      <w:r>
        <w:rPr>
          <w:rFonts w:ascii="Times New Roman" w:hAnsi="Times New Roman" w:eastAsia="Times New Roman" w:cs="Times New Roman"/>
          <w:sz w:val="24"/>
        </w:rPr>
        <w:t xml:space="preserve">. This Agreement shall be binding upon the Buyer’s successors, assigns, heirs, and beneficiaries. </w:t>
      </w:r>
    </w:p>
    <w:p>
      <w:pPr/>
    </w:p>
    <w:p>
      <w:pPr/>
      <w:r>
        <w:rPr>
          <w:rFonts w:ascii="Times New Roman" w:hAnsi="Times New Roman" w:eastAsia="Times New Roman" w:cs="Times New Roman"/>
          <w:b/>
          <w:sz w:val="24"/>
        </w:rPr>
        <w:t>XIV. False Information</w:t>
      </w:r>
      <w:r>
        <w:rPr>
          <w:rFonts w:ascii="Times New Roman" w:hAnsi="Times New Roman" w:eastAsia="Times New Roman" w:cs="Times New Roman"/>
          <w:sz w:val="24"/>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
    <w:p>
      <w:pPr/>
      <w:r>
        <w:rPr>
          <w:rFonts w:ascii="Times New Roman" w:hAnsi="Times New Roman" w:eastAsia="Times New Roman" w:cs="Times New Roman"/>
          <w:b/>
          <w:sz w:val="24"/>
        </w:rPr>
        <w:t>XV. Legal Signature</w:t>
      </w:r>
      <w:r>
        <w:rPr>
          <w:rFonts w:ascii="Times New Roman" w:hAnsi="Times New Roman" w:eastAsia="Times New Roman" w:cs="Times New Roman"/>
          <w:sz w:val="24"/>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
    <w:p>
      <w:pPr/>
      <w:r>
        <w:rPr>
          <w:rFonts w:ascii="Times New Roman" w:hAnsi="Times New Roman" w:eastAsia="Times New Roman" w:cs="Times New Roman"/>
          <w:b/>
          <w:sz w:val="24"/>
        </w:rPr>
        <w:t>XVI. Governing Law</w:t>
      </w:r>
      <w:r>
        <w:rPr>
          <w:rFonts w:ascii="Times New Roman" w:hAnsi="Times New Roman" w:eastAsia="Times New Roman" w:cs="Times New Roman"/>
          <w:sz w:val="24"/>
        </w:rPr>
        <w:t>. This Agreement shall be governed under the laws in the State of Georgia.</w:t>
      </w:r>
    </w:p>
    <w:p>
      <w:pPr/>
    </w:p>
    <w:p>
      <w:pPr/>
      <w:r>
        <w:rPr>
          <w:rFonts w:ascii="Times New Roman" w:hAnsi="Times New Roman" w:eastAsia="Times New Roman" w:cs="Times New Roman"/>
          <w:b/>
          <w:sz w:val="24"/>
        </w:rPr>
        <w:t>XVII.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
    <w:p>
      <w:pPr/>
      <w:r>
        <w:rPr>
          <w:rFonts w:ascii="Times New Roman" w:hAnsi="Times New Roman" w:eastAsia="Times New Roman" w:cs="Times New Roman"/>
          <w:b/>
          <w:sz w:val="24"/>
        </w:rPr>
        <w:t>XVIII.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p>
    <w:p>
      <w:pPr>
        <w:spacing w:before="0" w:after="0"/>
      </w:pPr>
    </w:p>
    <w:p>
      <w:pPr/>
      <w:r>
        <w:rPr>
          <w:rFonts w:ascii="Times New Roman" w:hAnsi="Times New Roman" w:eastAsia="Times New Roman" w:cs="Times New Roman"/>
          <w:b/>
          <w:sz w:val="24"/>
        </w:rPr>
        <w:t>XIX. Entire Agreement</w:t>
      </w:r>
      <w:r>
        <w:rPr>
          <w:rFonts w:ascii="Times New Roman" w:hAnsi="Times New Roman" w:eastAsia="Times New Roman" w:cs="Times New Roman"/>
          <w:sz w:val="24"/>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
    <w:p>
      <w:pPr/>
      <w:r>
        <w:rPr>
          <w:rFonts w:ascii="Times New Roman" w:hAnsi="Times New Roman" w:eastAsia="Times New Roman" w:cs="Times New Roman"/>
          <w:sz w:val="24"/>
        </w:rPr>
        <w:t>This Agreement is intended to be the legal and binding agreement of the Buyer and Broker. The Parties acknowledge receipt of a signed copy of this Agreement.</w:t>
      </w:r>
    </w:p>
    <w:p>
      <w:pPr/>
    </w:p>
    <w:p>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Broker’s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