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HIPAA Hybrid Entity Policy for Employer Group Health Plan</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HIPAA Hybrid Entity Policy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Health Insurance Portability and Accountability Act of 1996, as amended by the Health Information Technology for Economic and Clinical Health Act ("HITECH Act"), and its implementing regulations (collectively, "HIPAA"),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law intended to strengthen the privacy and security of individuals' health information. HIPAA applies to "covered entities," as defined under the privacy, security, breach notification, and enforcement rules at 45 C.F.R. Part 160 and Part 164 ("HIPAA Rules"). HIPAA covered entities include health plans (including employer sponsored group health plans), health plan clearinghouses, and health care providers that transmit health information electronically in certain types of transactions.</w:t>
      </w:r>
    </w:p>
    <w:p>
      <w:pPr>
        <w:keepNext w:val="0"/>
        <w:spacing w:before="200" w:after="0" w:line="260" w:lineRule="exact"/>
        <w:ind w:left="72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legal entity that conducts both HIPAA-covered and non-covered functions may designate itself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hybrid entity for purposes of compliance with the HIPAA Rules. The [name of ERISA welfare benefit plan] (the "Plan") sponsored by [name of plan sponsor] (the "Plan Sponsor")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single legal entity that contains health care components within the HIPAA definition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entity health plan and non-health plan components. Therefore, the Plan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hybrid entity for purposes of compliance with the HIPAA Rules.</w:t>
      </w:r>
    </w:p>
    <w:p>
      <w:pPr>
        <w:keepNext w:val="0"/>
        <w:spacing w:before="200" w:after="0" w:line="260" w:lineRule="exact"/>
        <w:ind w:left="720" w:right="0" w:firstLine="0"/>
        <w:jc w:val="both"/>
      </w:pPr>
      <w:r>
        <w:rPr>
          <w:rFonts w:ascii="Times New Roman" w:hAnsi="Times New Roman" w:eastAsia="Times New Roman" w:cs="Times New Roman"/>
          <w:b w:val="0"/>
          <w:sz w:val="24"/>
        </w:rPr>
        <w:t>The HIPAA Rules apply only to the Plan's health plan components as designated in this Policy, pursuant to the requirements of 45 C.F.R. §§ 164.103 and 164.105, which address organizational requirements for hybrid entities under HIPAA.</w:t>
      </w:r>
    </w:p>
    <w:p>
      <w:pPr>
        <w:keepNext w:val="0"/>
        <w:spacing w:before="120" w:after="0" w:line="260" w:lineRule="exact"/>
        <w:ind w:left="72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Designation of Health Care Components.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has designated the following components as its health care components because the component would meet the definition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covered entity if it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separate legal entity.</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[list component plans that are group health plans].</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has designated the following components as its non-health care components that are not subject to HIPAA.</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[list component plans that are not group health plans].</w:t>
      </w:r>
    </w:p>
    <w:p>
      <w:pPr>
        <w:keepNext w:val="0"/>
        <w:spacing w:before="120" w:after="0" w:line="260" w:lineRule="exact"/>
        <w:ind w:left="72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Required Safeguards.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ensure that its health care components comply with the HIPAA Rules, as applicable. In particular, the Plan shall ensure that:</w:t>
      </w:r>
    </w:p>
    <w:p>
      <w:pPr>
        <w:keepNext w:val="0"/>
        <w:spacing w:before="120" w:after="0" w:line="260" w:lineRule="exact"/>
        <w:ind w:left="1440" w:right="0" w:firstLine="0"/>
        <w:jc w:val="left"/>
      </w:pPr>
      <w:r>
        <w:rPr>
          <w:rFonts w:ascii="Times New Roman" w:hAnsi="Times New Roman" w:eastAsia="Times New Roman" w:cs="Times New Roman"/>
          <w:b w:val="0"/>
          <w:sz w:val="24"/>
        </w:rPr>
        <w:t>(i)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health care components do not disclose protected health information to another component of the Plan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would be prohibited under the HIPAA Privacy Rule (45 C.F.R. Part 164, Subpart E) if the health care component and other component were separate legal entities;</w:t>
      </w:r>
    </w:p>
    <w:p>
      <w:pPr>
        <w:keepNext w:val="0"/>
        <w:spacing w:before="120" w:after="0" w:line="260" w:lineRule="exact"/>
        <w:ind w:left="1440" w:right="0" w:firstLine="0"/>
        <w:jc w:val="left"/>
      </w:pPr>
      <w:r>
        <w:rPr>
          <w:rFonts w:ascii="Times New Roman" w:hAnsi="Times New Roman" w:eastAsia="Times New Roman" w:cs="Times New Roman"/>
          <w:b w:val="0"/>
          <w:sz w:val="24"/>
        </w:rPr>
        <w:t>(ii)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Its health care components protect electronic protected health information regarding another component of the Plan to the same extent that they would be required to protect this information under the HIPAA Security Rule (45 C.F.R. Part 164, Subpart C) if the health care components and other component were separate legal entities; and</w:t>
      </w:r>
    </w:p>
    <w:p>
      <w:pPr>
        <w:keepNext w:val="0"/>
        <w:spacing w:before="120" w:after="0" w:line="260" w:lineRule="exact"/>
        <w:ind w:left="1440" w:right="0" w:firstLine="0"/>
        <w:jc w:val="left"/>
      </w:pPr>
      <w:r>
        <w:rPr>
          <w:rFonts w:ascii="Times New Roman" w:hAnsi="Times New Roman" w:eastAsia="Times New Roman" w:cs="Times New Roman"/>
          <w:b w:val="0"/>
          <w:sz w:val="24"/>
        </w:rPr>
        <w:t>(iii)</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performs duties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workforce member for both the Plan's health care components and non-health care component in the same capacity, the person does not use or disclose protected health information created or received in the course of (or incident to) the person's work for the health care component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is prohibited under the HIPAA Privacy Rule (45 C.F.R. Part 164, Subpart E).</w:t>
      </w:r>
    </w:p>
    <w:p>
      <w:pPr>
        <w:keepNext w:val="0"/>
        <w:spacing w:before="120" w:after="0" w:line="260" w:lineRule="exact"/>
        <w:ind w:left="72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Responsibilities of the Plan.</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comply with HIPAA's requirements concerning compliance and enforcement (45 C.F.R. Part 160, Subpart C).</w:t>
      </w:r>
    </w:p>
    <w:p>
      <w:pPr>
        <w:keepNext w:val="0"/>
        <w:spacing w:before="120" w:after="0" w:line="260" w:lineRule="exact"/>
        <w:ind w:left="1080" w:right="0" w:firstLine="0"/>
        <w:jc w:val="left"/>
      </w:pPr>
      <w:r>
        <w:rPr>
          <w:rFonts w:ascii="Times New Roman" w:hAnsi="Times New Roman" w:eastAsia="Times New Roman" w:cs="Times New Roman"/>
          <w:b w:val="0"/>
          <w:sz w:val="24"/>
        </w:rPr>
        <w:t>(b)</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comply with requirements under the HIPAA Privacy Rule and Security Rule regarding implementation of compliance policies and procedures (45 C.F.R. §§ 164.316(</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and 164.530(i)), including the safeguards addressed in Section </w:t>
      </w:r>
      <w:r>
        <w:rPr>
          <w:rFonts w:ascii="Times New Roman" w:hAnsi="Times New Roman" w:eastAsia="Times New Roman" w:cs="Times New Roman"/>
          <w:b w:val="0"/>
          <w:sz w:val="24"/>
        </w:rPr>
        <w:t>2.</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(c)</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The Plan shall ensure compliance with requirements under the HIPAA Privacy Rule and Security Rule regarding business associate arrangements and other organizational requirements (45 C.F.R. §§ 164.314 and 164.504).</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